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9CC" w:rsidRPr="00BD3BE7" w:rsidRDefault="007A49CC" w:rsidP="007A49CC">
      <w:pPr>
        <w:autoSpaceDE w:val="0"/>
        <w:autoSpaceDN w:val="0"/>
        <w:adjustRightInd w:val="0"/>
        <w:spacing w:line="360" w:lineRule="auto"/>
        <w:jc w:val="center"/>
        <w:rPr>
          <w:rFonts w:ascii="Franklin Gothic Book" w:hAnsi="Franklin Gothic Book" w:cs="Times New Roman"/>
          <w:b/>
          <w:sz w:val="21"/>
          <w:szCs w:val="21"/>
        </w:rPr>
      </w:pPr>
      <w:r w:rsidRPr="00BD3BE7">
        <w:rPr>
          <w:rFonts w:ascii="Franklin Gothic Book" w:hAnsi="Franklin Gothic Book" w:cs="Times New Roman"/>
          <w:b/>
          <w:sz w:val="21"/>
          <w:szCs w:val="21"/>
        </w:rPr>
        <w:t>STATE OF MINNESOTA</w:t>
      </w:r>
    </w:p>
    <w:p w:rsidR="007A49CC" w:rsidRPr="00BD3BE7" w:rsidRDefault="007A49CC" w:rsidP="007A49CC">
      <w:pPr>
        <w:autoSpaceDE w:val="0"/>
        <w:autoSpaceDN w:val="0"/>
        <w:adjustRightInd w:val="0"/>
        <w:spacing w:line="360" w:lineRule="auto"/>
        <w:jc w:val="center"/>
        <w:rPr>
          <w:rFonts w:ascii="Franklin Gothic Book" w:hAnsi="Franklin Gothic Book" w:cs="Times New Roman"/>
          <w:b/>
          <w:sz w:val="21"/>
          <w:szCs w:val="21"/>
        </w:rPr>
      </w:pPr>
      <w:r w:rsidRPr="00BD3BE7">
        <w:rPr>
          <w:rFonts w:ascii="Franklin Gothic Book" w:hAnsi="Franklin Gothic Book" w:cs="Times New Roman"/>
          <w:b/>
          <w:sz w:val="21"/>
          <w:szCs w:val="21"/>
        </w:rPr>
        <w:t>PUBLIC UTILITIES COMMISSION</w:t>
      </w:r>
    </w:p>
    <w:p w:rsidR="007A49CC" w:rsidRPr="00BD3BE7" w:rsidRDefault="007A49CC" w:rsidP="007A49CC">
      <w:pPr>
        <w:pStyle w:val="Default"/>
        <w:spacing w:line="360" w:lineRule="auto"/>
        <w:rPr>
          <w:rFonts w:ascii="Franklin Gothic Book" w:hAnsi="Franklin Gothic Book"/>
          <w:b/>
          <w:sz w:val="21"/>
          <w:szCs w:val="21"/>
        </w:rPr>
      </w:pPr>
    </w:p>
    <w:p w:rsidR="007A49CC" w:rsidRPr="00BD3BE7" w:rsidRDefault="007A49CC" w:rsidP="007A49CC">
      <w:pPr>
        <w:autoSpaceDE w:val="0"/>
        <w:autoSpaceDN w:val="0"/>
        <w:adjustRightInd w:val="0"/>
        <w:spacing w:line="360" w:lineRule="auto"/>
        <w:ind w:left="2160"/>
        <w:rPr>
          <w:rFonts w:ascii="Franklin Gothic Book" w:hAnsi="Franklin Gothic Book" w:cs="Times New Roman"/>
          <w:sz w:val="21"/>
          <w:szCs w:val="21"/>
        </w:rPr>
      </w:pPr>
      <w:r w:rsidRPr="00BD3BE7">
        <w:rPr>
          <w:rFonts w:ascii="Franklin Gothic Book" w:hAnsi="Franklin Gothic Book" w:cs="Times New Roman"/>
          <w:sz w:val="21"/>
          <w:szCs w:val="21"/>
        </w:rPr>
        <w:t xml:space="preserve">Beverly Jones </w:t>
      </w:r>
      <w:proofErr w:type="spellStart"/>
      <w:r w:rsidRPr="00BD3BE7">
        <w:rPr>
          <w:rFonts w:ascii="Franklin Gothic Book" w:hAnsi="Franklin Gothic Book" w:cs="Times New Roman"/>
          <w:sz w:val="21"/>
          <w:szCs w:val="21"/>
        </w:rPr>
        <w:t>Heydinger</w:t>
      </w:r>
      <w:proofErr w:type="spellEnd"/>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t>Chair</w:t>
      </w:r>
    </w:p>
    <w:p w:rsidR="007A49CC" w:rsidRPr="00BD3BE7" w:rsidRDefault="007A49CC" w:rsidP="007A49CC">
      <w:pPr>
        <w:autoSpaceDE w:val="0"/>
        <w:autoSpaceDN w:val="0"/>
        <w:adjustRightInd w:val="0"/>
        <w:spacing w:line="360" w:lineRule="auto"/>
        <w:ind w:left="2160"/>
        <w:rPr>
          <w:rFonts w:ascii="Franklin Gothic Book" w:hAnsi="Franklin Gothic Book" w:cs="Times New Roman"/>
          <w:sz w:val="21"/>
          <w:szCs w:val="21"/>
        </w:rPr>
      </w:pPr>
      <w:r w:rsidRPr="00BD3BE7">
        <w:rPr>
          <w:rFonts w:ascii="Franklin Gothic Book" w:hAnsi="Franklin Gothic Book" w:cs="Times New Roman"/>
          <w:sz w:val="21"/>
          <w:szCs w:val="21"/>
        </w:rPr>
        <w:t>Nancy Lange</w:t>
      </w:r>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t>Commissioner</w:t>
      </w:r>
    </w:p>
    <w:p w:rsidR="007A49CC" w:rsidRPr="00BD3BE7" w:rsidRDefault="007A49CC" w:rsidP="007A49CC">
      <w:pPr>
        <w:autoSpaceDE w:val="0"/>
        <w:autoSpaceDN w:val="0"/>
        <w:adjustRightInd w:val="0"/>
        <w:spacing w:line="360" w:lineRule="auto"/>
        <w:ind w:left="2160"/>
        <w:rPr>
          <w:rFonts w:ascii="Franklin Gothic Book" w:hAnsi="Franklin Gothic Book" w:cs="Times New Roman"/>
          <w:sz w:val="21"/>
          <w:szCs w:val="21"/>
        </w:rPr>
      </w:pPr>
      <w:r w:rsidRPr="00BD3BE7">
        <w:rPr>
          <w:rFonts w:ascii="Franklin Gothic Book" w:hAnsi="Franklin Gothic Book" w:cs="Times New Roman"/>
          <w:sz w:val="21"/>
          <w:szCs w:val="21"/>
        </w:rPr>
        <w:t xml:space="preserve">Dan </w:t>
      </w:r>
      <w:proofErr w:type="spellStart"/>
      <w:r w:rsidRPr="00BD3BE7">
        <w:rPr>
          <w:rFonts w:ascii="Franklin Gothic Book" w:hAnsi="Franklin Gothic Book" w:cs="Times New Roman"/>
          <w:sz w:val="21"/>
          <w:szCs w:val="21"/>
        </w:rPr>
        <w:t>Lipschultz</w:t>
      </w:r>
      <w:proofErr w:type="spellEnd"/>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r>
      <w:r w:rsidRPr="00BD3BE7">
        <w:rPr>
          <w:rFonts w:ascii="Franklin Gothic Book" w:hAnsi="Franklin Gothic Book" w:cs="Times New Roman"/>
          <w:sz w:val="21"/>
          <w:szCs w:val="21"/>
        </w:rPr>
        <w:tab/>
        <w:t>Commissioner</w:t>
      </w:r>
    </w:p>
    <w:p w:rsidR="007A49CC" w:rsidRPr="00BD3BE7" w:rsidRDefault="007A49CC" w:rsidP="007A49CC">
      <w:pPr>
        <w:pStyle w:val="Default"/>
        <w:spacing w:line="360" w:lineRule="auto"/>
        <w:ind w:left="1440" w:firstLine="720"/>
        <w:rPr>
          <w:rFonts w:ascii="Franklin Gothic Book" w:hAnsi="Franklin Gothic Book"/>
          <w:sz w:val="21"/>
          <w:szCs w:val="21"/>
        </w:rPr>
      </w:pPr>
      <w:r w:rsidRPr="00BD3BE7">
        <w:rPr>
          <w:rFonts w:ascii="Franklin Gothic Book" w:hAnsi="Franklin Gothic Book"/>
          <w:sz w:val="21"/>
          <w:szCs w:val="21"/>
        </w:rPr>
        <w:t xml:space="preserve">John </w:t>
      </w:r>
      <w:proofErr w:type="spellStart"/>
      <w:r w:rsidRPr="00BD3BE7">
        <w:rPr>
          <w:rFonts w:ascii="Franklin Gothic Book" w:hAnsi="Franklin Gothic Book"/>
          <w:sz w:val="21"/>
          <w:szCs w:val="21"/>
        </w:rPr>
        <w:t>Tuma</w:t>
      </w:r>
      <w:proofErr w:type="spellEnd"/>
      <w:r w:rsidRPr="00BD3BE7">
        <w:rPr>
          <w:rFonts w:ascii="Franklin Gothic Book" w:hAnsi="Franklin Gothic Book"/>
          <w:sz w:val="21"/>
          <w:szCs w:val="21"/>
        </w:rPr>
        <w:tab/>
      </w:r>
      <w:r w:rsidRPr="00BD3BE7">
        <w:rPr>
          <w:rFonts w:ascii="Franklin Gothic Book" w:hAnsi="Franklin Gothic Book"/>
          <w:sz w:val="21"/>
          <w:szCs w:val="21"/>
        </w:rPr>
        <w:tab/>
      </w:r>
      <w:r w:rsidRPr="00BD3BE7">
        <w:rPr>
          <w:rFonts w:ascii="Franklin Gothic Book" w:hAnsi="Franklin Gothic Book"/>
          <w:sz w:val="21"/>
          <w:szCs w:val="21"/>
        </w:rPr>
        <w:tab/>
      </w:r>
      <w:r w:rsidRPr="00BD3BE7">
        <w:rPr>
          <w:rFonts w:ascii="Franklin Gothic Book" w:hAnsi="Franklin Gothic Book"/>
          <w:sz w:val="21"/>
          <w:szCs w:val="21"/>
        </w:rPr>
        <w:tab/>
        <w:t>Commissioner</w:t>
      </w:r>
    </w:p>
    <w:p w:rsidR="007A49CC" w:rsidRPr="00BD3BE7" w:rsidRDefault="007A49CC" w:rsidP="007A49CC">
      <w:pPr>
        <w:pStyle w:val="Default"/>
        <w:spacing w:line="360" w:lineRule="auto"/>
        <w:ind w:left="1440" w:firstLine="720"/>
        <w:rPr>
          <w:rFonts w:ascii="Franklin Gothic Book" w:hAnsi="Franklin Gothic Book"/>
          <w:sz w:val="21"/>
          <w:szCs w:val="21"/>
        </w:rPr>
      </w:pPr>
      <w:r w:rsidRPr="00BD3BE7">
        <w:rPr>
          <w:rFonts w:ascii="Franklin Gothic Book" w:hAnsi="Franklin Gothic Book"/>
          <w:sz w:val="21"/>
          <w:szCs w:val="21"/>
        </w:rPr>
        <w:t xml:space="preserve">Matt </w:t>
      </w:r>
      <w:proofErr w:type="spellStart"/>
      <w:r w:rsidRPr="00BD3BE7">
        <w:rPr>
          <w:rFonts w:ascii="Franklin Gothic Book" w:hAnsi="Franklin Gothic Book"/>
          <w:sz w:val="21"/>
          <w:szCs w:val="21"/>
        </w:rPr>
        <w:t>Schuerger</w:t>
      </w:r>
      <w:proofErr w:type="spellEnd"/>
      <w:r w:rsidRPr="00BD3BE7">
        <w:rPr>
          <w:rFonts w:ascii="Franklin Gothic Book" w:hAnsi="Franklin Gothic Book"/>
          <w:sz w:val="21"/>
          <w:szCs w:val="21"/>
        </w:rPr>
        <w:tab/>
      </w:r>
      <w:r w:rsidRPr="00BD3BE7">
        <w:rPr>
          <w:rFonts w:ascii="Franklin Gothic Book" w:hAnsi="Franklin Gothic Book"/>
          <w:sz w:val="21"/>
          <w:szCs w:val="21"/>
        </w:rPr>
        <w:tab/>
      </w:r>
      <w:r w:rsidRPr="00BD3BE7">
        <w:rPr>
          <w:rFonts w:ascii="Franklin Gothic Book" w:hAnsi="Franklin Gothic Book"/>
          <w:sz w:val="21"/>
          <w:szCs w:val="21"/>
        </w:rPr>
        <w:tab/>
      </w:r>
      <w:r w:rsidRPr="00BD3BE7">
        <w:rPr>
          <w:rFonts w:ascii="Franklin Gothic Book" w:hAnsi="Franklin Gothic Book"/>
          <w:sz w:val="21"/>
          <w:szCs w:val="21"/>
        </w:rPr>
        <w:tab/>
        <w:t>Commissioner</w:t>
      </w:r>
    </w:p>
    <w:p w:rsidR="007A49CC" w:rsidRPr="00BD3BE7" w:rsidRDefault="007A49CC" w:rsidP="007A49CC">
      <w:pPr>
        <w:autoSpaceDE w:val="0"/>
        <w:autoSpaceDN w:val="0"/>
        <w:adjustRightInd w:val="0"/>
        <w:spacing w:line="360" w:lineRule="auto"/>
        <w:rPr>
          <w:rFonts w:ascii="Franklin Gothic Book" w:hAnsi="Franklin Gothic Book" w:cs="Times New Roman"/>
          <w:b/>
          <w:bCs/>
          <w:sz w:val="21"/>
          <w:szCs w:val="21"/>
        </w:rPr>
      </w:pPr>
    </w:p>
    <w:p w:rsidR="007A49CC" w:rsidRPr="00BD3BE7" w:rsidRDefault="007A49CC" w:rsidP="007A49CC">
      <w:pPr>
        <w:autoSpaceDE w:val="0"/>
        <w:autoSpaceDN w:val="0"/>
        <w:adjustRightInd w:val="0"/>
        <w:spacing w:line="360" w:lineRule="auto"/>
        <w:rPr>
          <w:rFonts w:ascii="Franklin Gothic Book" w:hAnsi="Franklin Gothic Book" w:cs="Times New Roman"/>
          <w:bCs/>
          <w:sz w:val="21"/>
          <w:szCs w:val="21"/>
        </w:rPr>
      </w:pPr>
      <w:r w:rsidRPr="00BD3BE7">
        <w:rPr>
          <w:rFonts w:ascii="Franklin Gothic Book" w:hAnsi="Franklin Gothic Book" w:cs="Times New Roman"/>
          <w:bCs/>
          <w:sz w:val="21"/>
          <w:szCs w:val="21"/>
        </w:rPr>
        <w:t>April 1, 2016</w:t>
      </w:r>
    </w:p>
    <w:p w:rsidR="007A49CC" w:rsidRPr="00BD3BE7" w:rsidRDefault="007A49CC" w:rsidP="007A49CC">
      <w:pPr>
        <w:autoSpaceDE w:val="0"/>
        <w:autoSpaceDN w:val="0"/>
        <w:adjustRightInd w:val="0"/>
        <w:spacing w:line="360" w:lineRule="auto"/>
        <w:rPr>
          <w:rFonts w:ascii="Franklin Gothic Book" w:hAnsi="Franklin Gothic Book" w:cs="Times New Roman"/>
          <w:b/>
          <w:bCs/>
          <w:sz w:val="21"/>
          <w:szCs w:val="21"/>
        </w:rPr>
      </w:pPr>
    </w:p>
    <w:p w:rsidR="007A49CC" w:rsidRPr="00BD3BE7" w:rsidRDefault="007A49CC" w:rsidP="007A49CC">
      <w:pPr>
        <w:autoSpaceDE w:val="0"/>
        <w:autoSpaceDN w:val="0"/>
        <w:adjustRightInd w:val="0"/>
        <w:spacing w:line="360" w:lineRule="auto"/>
        <w:rPr>
          <w:rFonts w:ascii="Franklin Gothic Book" w:hAnsi="Franklin Gothic Book" w:cs="Times New Roman"/>
          <w:b/>
          <w:bCs/>
          <w:sz w:val="21"/>
          <w:szCs w:val="21"/>
        </w:rPr>
      </w:pPr>
      <w:r w:rsidRPr="00BD3BE7">
        <w:rPr>
          <w:rFonts w:ascii="Franklin Gothic Book" w:hAnsi="Franklin Gothic Book" w:cs="Times New Roman"/>
          <w:b/>
          <w:bCs/>
          <w:sz w:val="21"/>
          <w:szCs w:val="21"/>
        </w:rPr>
        <w:t xml:space="preserve">In the Matter of the Petition of Northern States </w:t>
      </w:r>
    </w:p>
    <w:p w:rsidR="007A49CC" w:rsidRPr="00BD3BE7" w:rsidRDefault="007A49CC" w:rsidP="007A49CC">
      <w:pPr>
        <w:autoSpaceDE w:val="0"/>
        <w:autoSpaceDN w:val="0"/>
        <w:adjustRightInd w:val="0"/>
        <w:spacing w:line="360" w:lineRule="auto"/>
        <w:rPr>
          <w:rFonts w:ascii="Franklin Gothic Book" w:hAnsi="Franklin Gothic Book" w:cs="Times New Roman"/>
          <w:b/>
          <w:bCs/>
          <w:sz w:val="21"/>
          <w:szCs w:val="21"/>
        </w:rPr>
      </w:pPr>
      <w:r w:rsidRPr="00BD3BE7">
        <w:rPr>
          <w:rFonts w:ascii="Franklin Gothic Book" w:hAnsi="Franklin Gothic Book" w:cs="Times New Roman"/>
          <w:b/>
          <w:bCs/>
          <w:sz w:val="21"/>
          <w:szCs w:val="21"/>
        </w:rPr>
        <w:t>Power Company, dba Xcel Energy, for Approval of</w:t>
      </w:r>
      <w:r w:rsidRPr="00BD3BE7">
        <w:rPr>
          <w:rFonts w:ascii="Franklin Gothic Book" w:hAnsi="Franklin Gothic Book" w:cs="Times New Roman"/>
          <w:b/>
          <w:bCs/>
          <w:sz w:val="21"/>
          <w:szCs w:val="21"/>
        </w:rPr>
        <w:tab/>
        <w:t>Docket No. E002/M-13-867</w:t>
      </w:r>
    </w:p>
    <w:p w:rsidR="007A49CC" w:rsidRPr="00BD3BE7" w:rsidRDefault="007A49CC" w:rsidP="007A49CC">
      <w:pPr>
        <w:autoSpaceDE w:val="0"/>
        <w:autoSpaceDN w:val="0"/>
        <w:adjustRightInd w:val="0"/>
        <w:spacing w:line="360" w:lineRule="auto"/>
        <w:rPr>
          <w:rFonts w:ascii="Franklin Gothic Book" w:hAnsi="Franklin Gothic Book" w:cs="Times New Roman"/>
          <w:b/>
          <w:bCs/>
          <w:sz w:val="21"/>
          <w:szCs w:val="21"/>
        </w:rPr>
      </w:pPr>
      <w:proofErr w:type="gramStart"/>
      <w:r w:rsidRPr="00BD3BE7">
        <w:rPr>
          <w:rFonts w:ascii="Franklin Gothic Book" w:hAnsi="Franklin Gothic Book" w:cs="Times New Roman"/>
          <w:b/>
          <w:bCs/>
          <w:sz w:val="21"/>
          <w:szCs w:val="21"/>
        </w:rPr>
        <w:t>its</w:t>
      </w:r>
      <w:proofErr w:type="gramEnd"/>
      <w:r w:rsidRPr="00BD3BE7">
        <w:rPr>
          <w:rFonts w:ascii="Franklin Gothic Book" w:hAnsi="Franklin Gothic Book" w:cs="Times New Roman"/>
          <w:b/>
          <w:bCs/>
          <w:sz w:val="21"/>
          <w:szCs w:val="21"/>
        </w:rPr>
        <w:t xml:space="preserve"> Proposed Community Solar Garden Program</w:t>
      </w:r>
    </w:p>
    <w:p w:rsidR="007A49CC" w:rsidRPr="00BD3BE7" w:rsidRDefault="007A49CC" w:rsidP="007A49CC">
      <w:pPr>
        <w:pStyle w:val="Default"/>
        <w:spacing w:line="360" w:lineRule="auto"/>
        <w:rPr>
          <w:rFonts w:ascii="Franklin Gothic Book" w:hAnsi="Franklin Gothic Book"/>
          <w:b/>
          <w:sz w:val="21"/>
          <w:szCs w:val="21"/>
        </w:rPr>
      </w:pPr>
    </w:p>
    <w:p w:rsidR="007A49CC" w:rsidRPr="00BD3BE7" w:rsidRDefault="007A49CC" w:rsidP="007A49CC">
      <w:pPr>
        <w:pStyle w:val="Default"/>
        <w:spacing w:line="360" w:lineRule="auto"/>
        <w:jc w:val="center"/>
        <w:rPr>
          <w:rFonts w:ascii="Franklin Gothic Book" w:hAnsi="Franklin Gothic Book"/>
          <w:b/>
          <w:color w:val="auto"/>
          <w:sz w:val="21"/>
          <w:szCs w:val="21"/>
        </w:rPr>
      </w:pPr>
      <w:r w:rsidRPr="00BD3BE7">
        <w:rPr>
          <w:rFonts w:ascii="Franklin Gothic Book" w:hAnsi="Franklin Gothic Book"/>
          <w:b/>
          <w:color w:val="auto"/>
          <w:sz w:val="21"/>
          <w:szCs w:val="21"/>
        </w:rPr>
        <w:t xml:space="preserve">COMMENTS IN RESPONSE TO THE COMMISSION'S FEBRUARY 26, 2016 NOTICE BY </w:t>
      </w:r>
    </w:p>
    <w:p w:rsidR="007A49CC" w:rsidRPr="00BD3BE7" w:rsidRDefault="007A49CC" w:rsidP="007A49CC">
      <w:pPr>
        <w:pStyle w:val="Default"/>
        <w:spacing w:line="360" w:lineRule="auto"/>
        <w:jc w:val="center"/>
        <w:rPr>
          <w:rFonts w:ascii="Franklin Gothic Book" w:hAnsi="Franklin Gothic Book"/>
          <w:b/>
          <w:caps/>
          <w:color w:val="auto"/>
          <w:sz w:val="21"/>
          <w:szCs w:val="21"/>
        </w:rPr>
      </w:pPr>
      <w:r w:rsidRPr="00BD3BE7">
        <w:rPr>
          <w:rFonts w:ascii="Franklin Gothic Book" w:hAnsi="Franklin Gothic Book"/>
          <w:b/>
          <w:caps/>
          <w:color w:val="auto"/>
          <w:sz w:val="21"/>
          <w:szCs w:val="21"/>
        </w:rPr>
        <w:t>Fresh Energy, [co-signers]</w:t>
      </w:r>
    </w:p>
    <w:p w:rsidR="007A49CC" w:rsidRPr="00BD3BE7" w:rsidRDefault="007A49CC" w:rsidP="007A49CC">
      <w:pPr>
        <w:pStyle w:val="Default"/>
        <w:spacing w:line="360" w:lineRule="auto"/>
        <w:rPr>
          <w:rFonts w:ascii="Franklin Gothic Book" w:hAnsi="Franklin Gothic Book"/>
          <w:b/>
          <w:color w:val="auto"/>
          <w:sz w:val="21"/>
          <w:szCs w:val="21"/>
        </w:rPr>
      </w:pPr>
    </w:p>
    <w:p w:rsidR="007A49CC" w:rsidRPr="00BD3BE7"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Fresh Energy, [co-signers] submit these Comments in response to the Commission's February 26, 2016 Notice. Specifically, we respond to the Commission’s question regarding steps to encourage low-income participation in Xcel Energy’s (“Xcel”</w:t>
      </w:r>
      <w:r>
        <w:rPr>
          <w:rFonts w:ascii="Franklin Gothic Book" w:hAnsi="Franklin Gothic Book"/>
          <w:sz w:val="21"/>
          <w:szCs w:val="21"/>
        </w:rPr>
        <w:t xml:space="preserve"> or the “Company”</w:t>
      </w:r>
      <w:r w:rsidRPr="00BD3BE7">
        <w:rPr>
          <w:rFonts w:ascii="Franklin Gothic Book" w:hAnsi="Franklin Gothic Book"/>
          <w:sz w:val="21"/>
          <w:szCs w:val="21"/>
        </w:rPr>
        <w:t>) Solar*Rewards Community (S*RC) program. This subject has gained increased interest around the country, and we appreciate the Commission’s attention to this topic.</w:t>
      </w:r>
    </w:p>
    <w:p w:rsidR="007A49CC" w:rsidRPr="00BD3BE7" w:rsidRDefault="007A49CC" w:rsidP="007A49CC">
      <w:pPr>
        <w:spacing w:line="360" w:lineRule="auto"/>
        <w:rPr>
          <w:rFonts w:ascii="Franklin Gothic Book" w:hAnsi="Franklin Gothic Book"/>
          <w:sz w:val="21"/>
          <w:szCs w:val="21"/>
        </w:rPr>
      </w:pPr>
    </w:p>
    <w:p w:rsidR="007A49CC"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While there is a significant amount of interest among residential customers in the S*RC program, to date there is little information on garden subscribers, including current low-income customer participation in the program</w:t>
      </w:r>
      <w:r w:rsidRPr="0048100A">
        <w:rPr>
          <w:rFonts w:ascii="Franklin Gothic Book" w:hAnsi="Franklin Gothic Book"/>
          <w:sz w:val="21"/>
          <w:szCs w:val="21"/>
        </w:rPr>
        <w:t>.  As more gardens are expected to reach operation in 2016, additional data on the current program’s performance will be available and we will better understand the degree of low-income participation</w:t>
      </w:r>
      <w:r w:rsidRPr="00F1766F">
        <w:rPr>
          <w:rFonts w:ascii="Franklin Gothic Book" w:hAnsi="Franklin Gothic Book"/>
          <w:sz w:val="21"/>
          <w:szCs w:val="21"/>
        </w:rPr>
        <w:t xml:space="preserve">.  However, through our research we have identified specific barriers low-income households face in subscribing to community solar that lead us to </w:t>
      </w:r>
      <w:r>
        <w:rPr>
          <w:rFonts w:ascii="Franklin Gothic Book" w:hAnsi="Franklin Gothic Book"/>
          <w:sz w:val="21"/>
          <w:szCs w:val="21"/>
        </w:rPr>
        <w:t xml:space="preserve">conclude </w:t>
      </w:r>
      <w:r w:rsidRPr="00F1766F">
        <w:rPr>
          <w:rFonts w:ascii="Franklin Gothic Book" w:hAnsi="Franklin Gothic Book"/>
          <w:sz w:val="21"/>
          <w:szCs w:val="21"/>
        </w:rPr>
        <w:t xml:space="preserve">that </w:t>
      </w:r>
      <w:r>
        <w:rPr>
          <w:rFonts w:ascii="Franklin Gothic Book" w:hAnsi="Franklin Gothic Book"/>
          <w:sz w:val="21"/>
          <w:szCs w:val="21"/>
        </w:rPr>
        <w:t xml:space="preserve">program changes should be made to </w:t>
      </w:r>
      <w:proofErr w:type="gramStart"/>
      <w:r>
        <w:rPr>
          <w:rFonts w:ascii="Franklin Gothic Book" w:hAnsi="Franklin Gothic Book"/>
          <w:sz w:val="21"/>
          <w:szCs w:val="21"/>
        </w:rPr>
        <w:t>increase</w:t>
      </w:r>
      <w:proofErr w:type="gramEnd"/>
      <w:r>
        <w:rPr>
          <w:rFonts w:ascii="Franklin Gothic Book" w:hAnsi="Franklin Gothic Book"/>
          <w:sz w:val="21"/>
          <w:szCs w:val="21"/>
        </w:rPr>
        <w:t xml:space="preserve"> </w:t>
      </w:r>
      <w:r w:rsidRPr="00E84BEE">
        <w:rPr>
          <w:rFonts w:ascii="Franklin Gothic Book" w:hAnsi="Franklin Gothic Book"/>
          <w:sz w:val="21"/>
          <w:szCs w:val="21"/>
        </w:rPr>
        <w:t>low-income customer access</w:t>
      </w:r>
      <w:r w:rsidRPr="00713795">
        <w:rPr>
          <w:rFonts w:ascii="Franklin Gothic Book" w:hAnsi="Franklin Gothic Book"/>
          <w:sz w:val="21"/>
          <w:szCs w:val="21"/>
        </w:rPr>
        <w:t>.</w:t>
      </w:r>
      <w:r w:rsidRPr="00BD3BE7">
        <w:rPr>
          <w:rStyle w:val="FootnoteReference"/>
          <w:rFonts w:ascii="Franklin Gothic Book" w:hAnsi="Franklin Gothic Book"/>
          <w:sz w:val="21"/>
          <w:szCs w:val="21"/>
        </w:rPr>
        <w:footnoteReference w:id="1"/>
      </w:r>
      <w:r w:rsidRPr="00BD3BE7">
        <w:rPr>
          <w:rFonts w:ascii="Franklin Gothic Book" w:hAnsi="Franklin Gothic Book"/>
          <w:sz w:val="21"/>
          <w:szCs w:val="21"/>
        </w:rPr>
        <w:t xml:space="preserve"> As we will address in these comments, these barriers include not only lack of</w:t>
      </w:r>
      <w:r>
        <w:rPr>
          <w:rFonts w:ascii="Franklin Gothic Book" w:hAnsi="Franklin Gothic Book"/>
          <w:sz w:val="21"/>
          <w:szCs w:val="21"/>
        </w:rPr>
        <w:t xml:space="preserve"> available upfront funds to subscribe to gardens</w:t>
      </w:r>
      <w:r w:rsidRPr="00BD3BE7">
        <w:rPr>
          <w:rFonts w:ascii="Franklin Gothic Book" w:hAnsi="Franklin Gothic Book"/>
          <w:sz w:val="21"/>
          <w:szCs w:val="21"/>
        </w:rPr>
        <w:t xml:space="preserve">, but a perceived lack of credit-worthiness by </w:t>
      </w:r>
      <w:r w:rsidRPr="00BD3BE7">
        <w:rPr>
          <w:rFonts w:ascii="Franklin Gothic Book" w:hAnsi="Franklin Gothic Book"/>
          <w:sz w:val="21"/>
          <w:szCs w:val="21"/>
        </w:rPr>
        <w:lastRenderedPageBreak/>
        <w:t xml:space="preserve">solar garden </w:t>
      </w:r>
      <w:proofErr w:type="gramStart"/>
      <w:r w:rsidRPr="00BD3BE7">
        <w:rPr>
          <w:rFonts w:ascii="Franklin Gothic Book" w:hAnsi="Franklin Gothic Book"/>
          <w:sz w:val="21"/>
          <w:szCs w:val="21"/>
        </w:rPr>
        <w:t>financers.</w:t>
      </w:r>
      <w:proofErr w:type="gramEnd"/>
      <w:r w:rsidRPr="00BD3BE7">
        <w:rPr>
          <w:rFonts w:ascii="Franklin Gothic Book" w:hAnsi="Franklin Gothic Book"/>
          <w:sz w:val="21"/>
          <w:szCs w:val="21"/>
        </w:rPr>
        <w:t xml:space="preserve"> To address these barriers we propose a set of program modifications for new community solar projects that we believe will increase access to community solar by low-income customers.</w:t>
      </w:r>
    </w:p>
    <w:p w:rsidR="007A49CC"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Pr>
          <w:rFonts w:ascii="Franklin Gothic Book" w:hAnsi="Franklin Gothic Book"/>
          <w:sz w:val="21"/>
          <w:szCs w:val="21"/>
        </w:rPr>
        <w:t xml:space="preserve">To develop these recommendations, our groups met over the last three months to research barriers, analyze national examples of low-income solar programs and solutions, and evaluated potential access solutions. Meeting materials are attached to these comments. </w:t>
      </w:r>
    </w:p>
    <w:p w:rsidR="007A49CC" w:rsidRPr="00BD3BE7" w:rsidRDefault="007A49CC" w:rsidP="007A49CC">
      <w:pPr>
        <w:spacing w:line="360" w:lineRule="auto"/>
        <w:rPr>
          <w:rFonts w:ascii="Franklin Gothic Book" w:hAnsi="Franklin Gothic Book"/>
          <w:sz w:val="21"/>
          <w:szCs w:val="21"/>
        </w:rPr>
      </w:pPr>
    </w:p>
    <w:p w:rsidR="007A49CC" w:rsidRPr="0048100A" w:rsidRDefault="007A49CC" w:rsidP="007A49CC">
      <w:pPr>
        <w:pStyle w:val="ListParagraph"/>
        <w:numPr>
          <w:ilvl w:val="0"/>
          <w:numId w:val="1"/>
        </w:numPr>
        <w:spacing w:line="360" w:lineRule="auto"/>
        <w:rPr>
          <w:rFonts w:ascii="Franklin Gothic Book" w:hAnsi="Franklin Gothic Book"/>
          <w:b/>
          <w:sz w:val="21"/>
          <w:szCs w:val="21"/>
        </w:rPr>
      </w:pPr>
      <w:r w:rsidRPr="0048100A">
        <w:rPr>
          <w:rFonts w:ascii="Franklin Gothic Book" w:hAnsi="Franklin Gothic Book"/>
          <w:b/>
          <w:sz w:val="21"/>
          <w:szCs w:val="21"/>
        </w:rPr>
        <w:t>Barriers for Low- and Moderate-Income Households</w:t>
      </w:r>
    </w:p>
    <w:p w:rsidR="007A49CC" w:rsidRPr="0048100A" w:rsidRDefault="007A49CC" w:rsidP="007A49CC">
      <w:pPr>
        <w:spacing w:line="360" w:lineRule="auto"/>
        <w:rPr>
          <w:rFonts w:ascii="Franklin Gothic Book" w:hAnsi="Franklin Gothic Book"/>
          <w:sz w:val="21"/>
          <w:szCs w:val="21"/>
        </w:rPr>
      </w:pPr>
    </w:p>
    <w:p w:rsidR="007A49CC" w:rsidRPr="00E84BEE" w:rsidRDefault="007A49CC" w:rsidP="007A49CC">
      <w:pPr>
        <w:spacing w:line="360" w:lineRule="auto"/>
        <w:rPr>
          <w:rFonts w:ascii="Franklin Gothic Book" w:hAnsi="Franklin Gothic Book"/>
          <w:sz w:val="21"/>
          <w:szCs w:val="21"/>
        </w:rPr>
      </w:pPr>
      <w:r>
        <w:rPr>
          <w:rFonts w:ascii="Franklin Gothic Book" w:hAnsi="Franklin Gothic Book"/>
          <w:sz w:val="21"/>
          <w:szCs w:val="21"/>
        </w:rPr>
        <w:t>The</w:t>
      </w:r>
      <w:r w:rsidRPr="0048100A">
        <w:rPr>
          <w:rFonts w:ascii="Franklin Gothic Book" w:hAnsi="Franklin Gothic Book"/>
          <w:sz w:val="21"/>
          <w:szCs w:val="21"/>
        </w:rPr>
        <w:t xml:space="preserve"> S*RC program</w:t>
      </w:r>
      <w:r>
        <w:rPr>
          <w:rFonts w:ascii="Franklin Gothic Book" w:hAnsi="Franklin Gothic Book"/>
          <w:sz w:val="21"/>
          <w:szCs w:val="21"/>
        </w:rPr>
        <w:t xml:space="preserve"> is designed to allow many types of customers to choose </w:t>
      </w:r>
      <w:r w:rsidRPr="0048100A">
        <w:rPr>
          <w:rFonts w:ascii="Franklin Gothic Book" w:hAnsi="Franklin Gothic Book"/>
          <w:sz w:val="21"/>
          <w:szCs w:val="21"/>
        </w:rPr>
        <w:t>distributed solar energy</w:t>
      </w:r>
      <w:r>
        <w:rPr>
          <w:rFonts w:ascii="Franklin Gothic Book" w:hAnsi="Franklin Gothic Book"/>
          <w:sz w:val="21"/>
          <w:szCs w:val="21"/>
        </w:rPr>
        <w:t>; however,</w:t>
      </w:r>
      <w:r w:rsidRPr="0048100A">
        <w:rPr>
          <w:rFonts w:ascii="Franklin Gothic Book" w:hAnsi="Franklin Gothic Book"/>
          <w:sz w:val="21"/>
          <w:szCs w:val="21"/>
        </w:rPr>
        <w:t xml:space="preserve"> low-income residential customers often lack upfront money to pay for deposits or fees, or credit score necessary to subscribe to many </w:t>
      </w:r>
      <w:r w:rsidRPr="00F1766F">
        <w:rPr>
          <w:rFonts w:ascii="Franklin Gothic Book" w:hAnsi="Franklin Gothic Book"/>
          <w:sz w:val="21"/>
          <w:szCs w:val="21"/>
        </w:rPr>
        <w:t>CSG projects, regardless of payment structure</w:t>
      </w:r>
      <w:r>
        <w:rPr>
          <w:rFonts w:ascii="Franklin Gothic Book" w:hAnsi="Franklin Gothic Book"/>
          <w:sz w:val="21"/>
          <w:szCs w:val="21"/>
        </w:rPr>
        <w:t xml:space="preserve"> (e.g. upfront or pay-as-you-go subscriptions)</w:t>
      </w:r>
      <w:r w:rsidRPr="00E84BEE">
        <w:rPr>
          <w:rFonts w:ascii="Franklin Gothic Book" w:hAnsi="Franklin Gothic Book"/>
          <w:sz w:val="21"/>
          <w:szCs w:val="21"/>
        </w:rPr>
        <w:t>. These barriers impede low-income participation as financers, and in turn solar developers, are deterred from including low-income households in CSG projects.</w:t>
      </w:r>
    </w:p>
    <w:p w:rsidR="007A49CC" w:rsidRPr="00713795" w:rsidRDefault="007A49CC" w:rsidP="007A49CC">
      <w:pPr>
        <w:spacing w:line="360" w:lineRule="auto"/>
        <w:rPr>
          <w:rFonts w:ascii="Franklin Gothic Book" w:hAnsi="Franklin Gothic Book"/>
          <w:sz w:val="21"/>
          <w:szCs w:val="21"/>
        </w:rPr>
      </w:pPr>
    </w:p>
    <w:p w:rsidR="007A49CC" w:rsidRPr="0048100A" w:rsidRDefault="007A49CC" w:rsidP="007A49CC">
      <w:pPr>
        <w:spacing w:line="360" w:lineRule="auto"/>
        <w:rPr>
          <w:rFonts w:ascii="Franklin Gothic Book" w:hAnsi="Franklin Gothic Book"/>
          <w:sz w:val="21"/>
          <w:szCs w:val="21"/>
        </w:rPr>
      </w:pPr>
      <w:r w:rsidRPr="00713795">
        <w:rPr>
          <w:rFonts w:ascii="Franklin Gothic Book" w:hAnsi="Franklin Gothic Book"/>
          <w:sz w:val="21"/>
          <w:szCs w:val="21"/>
        </w:rPr>
        <w:t>While the Commission’s February 26, 2016 Notice requested comments regarding low-</w:t>
      </w:r>
      <w:r w:rsidRPr="008E041E">
        <w:rPr>
          <w:rFonts w:ascii="Franklin Gothic Book" w:hAnsi="Franklin Gothic Book"/>
          <w:i/>
          <w:sz w:val="21"/>
          <w:szCs w:val="21"/>
        </w:rPr>
        <w:t>income</w:t>
      </w:r>
      <w:r w:rsidRPr="008E041E">
        <w:rPr>
          <w:rFonts w:ascii="Franklin Gothic Book" w:hAnsi="Franklin Gothic Book"/>
          <w:sz w:val="21"/>
          <w:szCs w:val="21"/>
        </w:rPr>
        <w:t xml:space="preserve"> participation, it is important to note that income is not the only factor restricting many households.  From our research with community solar developers, </w:t>
      </w:r>
      <w:r>
        <w:rPr>
          <w:rFonts w:ascii="Franklin Gothic Book" w:hAnsi="Franklin Gothic Book"/>
          <w:sz w:val="21"/>
          <w:szCs w:val="21"/>
        </w:rPr>
        <w:t xml:space="preserve">we have learned that many financers consider credit-worthiness to be the primary test for assessing risk in financing CSG projects. Financers are generally using a FICO credit score of 680 as a base in determining which CSG projects are financeable. </w:t>
      </w:r>
      <w:r w:rsidRPr="00BD3BE7">
        <w:rPr>
          <w:rFonts w:ascii="Franklin Gothic Book" w:hAnsi="Franklin Gothic Book"/>
          <w:sz w:val="21"/>
          <w:szCs w:val="21"/>
        </w:rPr>
        <w:t>As of April 2015, 45 percent of Americans have a credit score less than 700.</w:t>
      </w:r>
      <w:r w:rsidRPr="00BD3BE7">
        <w:rPr>
          <w:rStyle w:val="FootnoteReference"/>
          <w:rFonts w:ascii="Franklin Gothic Book" w:hAnsi="Franklin Gothic Book"/>
          <w:sz w:val="21"/>
          <w:szCs w:val="21"/>
        </w:rPr>
        <w:footnoteReference w:id="2"/>
      </w:r>
      <w:r w:rsidRPr="00BD3BE7">
        <w:rPr>
          <w:rFonts w:ascii="Franklin Gothic Book" w:hAnsi="Franklin Gothic Book"/>
          <w:sz w:val="21"/>
          <w:szCs w:val="21"/>
        </w:rPr>
        <w:t xml:space="preserve">   There is a general correlation between income level and credit score; however, one does not necessarily cause the other. Thus, even a higher-income, low-credit score individual could therefore be denied financing for a CSG project.</w:t>
      </w:r>
      <w:r w:rsidRPr="0048100A">
        <w:rPr>
          <w:rFonts w:ascii="Franklin Gothic Book" w:hAnsi="Franklin Gothic Book"/>
          <w:sz w:val="21"/>
          <w:szCs w:val="21"/>
        </w:rPr>
        <w:t xml:space="preserve"> </w:t>
      </w:r>
    </w:p>
    <w:p w:rsidR="007A49CC" w:rsidRPr="0048100A" w:rsidRDefault="007A49CC" w:rsidP="007A49CC">
      <w:pPr>
        <w:spacing w:line="360" w:lineRule="auto"/>
        <w:rPr>
          <w:rFonts w:ascii="Franklin Gothic Book" w:hAnsi="Franklin Gothic Book"/>
          <w:sz w:val="21"/>
          <w:szCs w:val="21"/>
        </w:rPr>
      </w:pPr>
    </w:p>
    <w:p w:rsidR="007A49CC" w:rsidRPr="0048100A"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There is significant interest and research in solar programs around the country on alternative ways to assess the likelihood of solar cost repayment by customers who pay utility bills.</w:t>
      </w:r>
      <w:r w:rsidRPr="00BD3BE7">
        <w:rPr>
          <w:rStyle w:val="FootnoteReference"/>
          <w:rFonts w:ascii="Franklin Gothic Book" w:hAnsi="Franklin Gothic Book"/>
          <w:sz w:val="21"/>
          <w:szCs w:val="21"/>
        </w:rPr>
        <w:footnoteReference w:id="3"/>
      </w:r>
      <w:r w:rsidRPr="00BD3BE7">
        <w:rPr>
          <w:rFonts w:ascii="Franklin Gothic Book" w:hAnsi="Franklin Gothic Book"/>
          <w:sz w:val="21"/>
          <w:szCs w:val="21"/>
        </w:rPr>
        <w:t xml:space="preserve"> </w:t>
      </w:r>
      <w:r w:rsidRPr="00BD3BE7">
        <w:rPr>
          <w:rFonts w:ascii="Franklin Gothic Book" w:hAnsi="Franklin Gothic Book"/>
          <w:sz w:val="21"/>
          <w:szCs w:val="21"/>
        </w:rPr>
        <w:t xml:space="preserve">For example, the Department of Energy’s </w:t>
      </w:r>
      <w:proofErr w:type="spellStart"/>
      <w:r w:rsidRPr="00BD3BE7">
        <w:rPr>
          <w:rFonts w:ascii="Franklin Gothic Book" w:hAnsi="Franklin Gothic Book"/>
          <w:sz w:val="21"/>
          <w:szCs w:val="21"/>
        </w:rPr>
        <w:t>Sunshot</w:t>
      </w:r>
      <w:proofErr w:type="spellEnd"/>
      <w:r w:rsidRPr="00BD3BE7">
        <w:rPr>
          <w:rFonts w:ascii="Franklin Gothic Book" w:hAnsi="Franklin Gothic Book"/>
          <w:sz w:val="21"/>
          <w:szCs w:val="21"/>
        </w:rPr>
        <w:t xml:space="preserve"> Initiative recently announced a grant to San Francisco-based kWh Analytics, which will create a database of financial payment history for solar financing contracts to establish better risk-based pricing approaches by financers. Similarly, Boston-based Solstice Initiative has proposed using a subscriber’s utility bill repayment history, rather than credit score, to determine risk in CSG lending.</w:t>
      </w:r>
      <w:r w:rsidRPr="0048100A">
        <w:rPr>
          <w:rFonts w:ascii="Franklin Gothic Book" w:hAnsi="Franklin Gothic Book"/>
          <w:sz w:val="21"/>
          <w:szCs w:val="21"/>
        </w:rPr>
        <w:t xml:space="preserve"> We recognize that the Commission is limited in its ability to control the use of credit scores </w:t>
      </w:r>
      <w:r w:rsidRPr="0048100A">
        <w:rPr>
          <w:rFonts w:ascii="Franklin Gothic Book" w:hAnsi="Franklin Gothic Book"/>
          <w:sz w:val="21"/>
          <w:szCs w:val="21"/>
        </w:rPr>
        <w:lastRenderedPageBreak/>
        <w:t>by third parties to screen potential subscribers, but offer a brief discussion here to aid the Commission in understanding the complexity of the barriers to accessibility in CSG projects.</w:t>
      </w:r>
    </w:p>
    <w:p w:rsidR="007A49CC" w:rsidRPr="0048100A"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sidRPr="00F1766F">
        <w:rPr>
          <w:rFonts w:ascii="Franklin Gothic Book" w:hAnsi="Franklin Gothic Book"/>
          <w:sz w:val="21"/>
          <w:szCs w:val="21"/>
        </w:rPr>
        <w:t>In addition to the upfront money and credit score challenges, there are additional transaction costs to include both residential and low-income subscribers. The</w:t>
      </w:r>
      <w:r w:rsidRPr="00E84BEE">
        <w:rPr>
          <w:rFonts w:ascii="Franklin Gothic Book" w:hAnsi="Franklin Gothic Book"/>
          <w:sz w:val="21"/>
          <w:szCs w:val="21"/>
        </w:rPr>
        <w:t xml:space="preserve"> administrative, marketing, and related costs</w:t>
      </w:r>
      <w:r w:rsidRPr="00713795">
        <w:rPr>
          <w:rFonts w:ascii="Franklin Gothic Book" w:hAnsi="Franklin Gothic Book"/>
          <w:sz w:val="21"/>
          <w:szCs w:val="21"/>
        </w:rPr>
        <w:t xml:space="preserve"> are lower for developers to enroll a few, larger customers in solar gardens tha</w:t>
      </w:r>
      <w:r w:rsidRPr="008E041E">
        <w:rPr>
          <w:rFonts w:ascii="Franklin Gothic Book" w:hAnsi="Franklin Gothic Book"/>
          <w:sz w:val="21"/>
          <w:szCs w:val="21"/>
        </w:rPr>
        <w:t>n many smaller customers that are likely to move more frequently than larger subscribers like businesses.  Depending on the solar garden developer’s business model, these additional costs may reduce the ability of these new companies to seek additional res</w:t>
      </w:r>
      <w:r w:rsidRPr="00BD3BE7">
        <w:rPr>
          <w:rFonts w:ascii="Franklin Gothic Book" w:hAnsi="Franklin Gothic Book"/>
          <w:sz w:val="21"/>
          <w:szCs w:val="21"/>
        </w:rPr>
        <w:t>idential, and low-income, customers.</w:t>
      </w:r>
    </w:p>
    <w:p w:rsidR="007A49CC" w:rsidRPr="00BD3BE7" w:rsidRDefault="007A49CC" w:rsidP="007A49CC">
      <w:pPr>
        <w:spacing w:line="360" w:lineRule="auto"/>
        <w:rPr>
          <w:rFonts w:ascii="Franklin Gothic Book" w:hAnsi="Franklin Gothic Book"/>
          <w:sz w:val="21"/>
          <w:szCs w:val="21"/>
        </w:rPr>
      </w:pPr>
    </w:p>
    <w:p w:rsidR="007A49CC" w:rsidRPr="0048100A"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 xml:space="preserve">Importantly, there are also non-monetary obstacles to low-income participation in community solar programs, including marketing, education, and outreach. These include language barriers, lack of </w:t>
      </w:r>
      <w:r>
        <w:rPr>
          <w:rFonts w:ascii="Franklin Gothic Book" w:hAnsi="Franklin Gothic Book"/>
          <w:sz w:val="21"/>
          <w:szCs w:val="21"/>
        </w:rPr>
        <w:t>i</w:t>
      </w:r>
      <w:r w:rsidRPr="00BD3BE7">
        <w:rPr>
          <w:rFonts w:ascii="Franklin Gothic Book" w:hAnsi="Franklin Gothic Book"/>
          <w:sz w:val="21"/>
          <w:szCs w:val="21"/>
        </w:rPr>
        <w:t>nternet access, and constrained time and resources.</w:t>
      </w:r>
      <w:r w:rsidRPr="00BD3BE7">
        <w:rPr>
          <w:rStyle w:val="FootnoteReference"/>
          <w:rFonts w:ascii="Franklin Gothic Book" w:hAnsi="Franklin Gothic Book"/>
          <w:sz w:val="21"/>
          <w:szCs w:val="21"/>
        </w:rPr>
        <w:footnoteReference w:id="4"/>
      </w:r>
      <w:r w:rsidRPr="00BD3BE7">
        <w:rPr>
          <w:rFonts w:ascii="Franklin Gothic Book" w:hAnsi="Franklin Gothic Book"/>
          <w:sz w:val="21"/>
          <w:szCs w:val="21"/>
        </w:rPr>
        <w:t xml:space="preserve"> All of these factors combine to further hinder accessibility among low-i</w:t>
      </w:r>
      <w:r w:rsidRPr="0048100A">
        <w:rPr>
          <w:rFonts w:ascii="Franklin Gothic Book" w:hAnsi="Franklin Gothic Book"/>
          <w:sz w:val="21"/>
          <w:szCs w:val="21"/>
        </w:rPr>
        <w:t xml:space="preserve">ncome households.  </w:t>
      </w:r>
    </w:p>
    <w:p w:rsidR="007A49CC" w:rsidRPr="0048100A" w:rsidRDefault="007A49CC" w:rsidP="007A49CC">
      <w:pPr>
        <w:spacing w:line="360" w:lineRule="auto"/>
        <w:rPr>
          <w:rFonts w:ascii="Franklin Gothic Book" w:hAnsi="Franklin Gothic Book"/>
          <w:sz w:val="21"/>
          <w:szCs w:val="21"/>
        </w:rPr>
      </w:pPr>
    </w:p>
    <w:p w:rsidR="007A49CC" w:rsidRPr="00BD3BE7" w:rsidRDefault="007A49CC" w:rsidP="007A49CC">
      <w:pPr>
        <w:pStyle w:val="ListParagraph"/>
        <w:numPr>
          <w:ilvl w:val="0"/>
          <w:numId w:val="1"/>
        </w:numPr>
        <w:spacing w:line="360" w:lineRule="auto"/>
        <w:rPr>
          <w:rFonts w:ascii="Franklin Gothic Book" w:hAnsi="Franklin Gothic Book"/>
          <w:b/>
          <w:sz w:val="21"/>
          <w:szCs w:val="21"/>
        </w:rPr>
      </w:pPr>
      <w:r w:rsidRPr="00F1766F">
        <w:rPr>
          <w:rFonts w:ascii="Franklin Gothic Book" w:hAnsi="Franklin Gothic Book"/>
          <w:b/>
          <w:sz w:val="21"/>
          <w:szCs w:val="21"/>
        </w:rPr>
        <w:t>The Limitations of a Mandated Low-Income “Carve</w:t>
      </w:r>
      <w:r>
        <w:rPr>
          <w:rFonts w:ascii="Franklin Gothic Book" w:hAnsi="Franklin Gothic Book"/>
          <w:b/>
          <w:sz w:val="21"/>
          <w:szCs w:val="21"/>
        </w:rPr>
        <w:t>-</w:t>
      </w:r>
      <w:r w:rsidRPr="00F1766F">
        <w:rPr>
          <w:rFonts w:ascii="Franklin Gothic Book" w:hAnsi="Franklin Gothic Book"/>
          <w:b/>
          <w:sz w:val="21"/>
          <w:szCs w:val="21"/>
        </w:rPr>
        <w:t>Out</w:t>
      </w:r>
      <w:r w:rsidRPr="00BD3BE7">
        <w:rPr>
          <w:rFonts w:ascii="Franklin Gothic Book" w:hAnsi="Franklin Gothic Book"/>
          <w:b/>
          <w:sz w:val="21"/>
          <w:szCs w:val="21"/>
        </w:rPr>
        <w:t>”</w:t>
      </w:r>
    </w:p>
    <w:p w:rsidR="007A49CC" w:rsidRPr="00BD3BE7"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In Minnesota and nationwide, different solutions have been explored to increase low-income participation in shared renewables programs. For example, the Colorado community solar garden program requires that investor-owned utilities set aside 5 percent of each proposed community solar garden for low-income subscribers in order for the garden to qualify for state Renewable Energy Credits (RECs).</w:t>
      </w:r>
      <w:r w:rsidRPr="00BD3BE7">
        <w:rPr>
          <w:rFonts w:ascii="Franklin Gothic Book" w:hAnsi="Franklin Gothic Book"/>
          <w:sz w:val="21"/>
          <w:szCs w:val="21"/>
        </w:rPr>
        <w:t xml:space="preserve"> While the carve-out appears like an administratively simple way to ensure low income participation, it has drawbacks and we do not recommend it here. </w:t>
      </w:r>
    </w:p>
    <w:p w:rsidR="007A49CC" w:rsidRPr="0048100A" w:rsidRDefault="007A49CC" w:rsidP="007A49CC">
      <w:pPr>
        <w:spacing w:line="360" w:lineRule="auto"/>
        <w:rPr>
          <w:rFonts w:ascii="Franklin Gothic Book" w:hAnsi="Franklin Gothic Book"/>
          <w:sz w:val="21"/>
          <w:szCs w:val="21"/>
        </w:rPr>
      </w:pPr>
    </w:p>
    <w:p w:rsidR="007A49CC" w:rsidRPr="0048100A" w:rsidRDefault="007A49CC" w:rsidP="007A49CC">
      <w:pPr>
        <w:spacing w:line="360" w:lineRule="auto"/>
        <w:rPr>
          <w:rFonts w:ascii="Franklin Gothic Book" w:hAnsi="Franklin Gothic Book"/>
          <w:sz w:val="21"/>
          <w:szCs w:val="21"/>
        </w:rPr>
      </w:pPr>
      <w:r>
        <w:rPr>
          <w:rFonts w:ascii="Franklin Gothic Book" w:hAnsi="Franklin Gothic Book"/>
          <w:sz w:val="21"/>
          <w:szCs w:val="21"/>
        </w:rPr>
        <w:t>The Colorado Community Solar Garden Act directed the Colorado Public Utilities Commission (PUC) to develop program rules to encourage “ownership in community solar gardens by residential retail customers</w:t>
      </w:r>
      <w:proofErr w:type="gramStart"/>
      <w:r>
        <w:rPr>
          <w:rFonts w:ascii="Franklin Gothic Book" w:hAnsi="Franklin Gothic Book"/>
          <w:sz w:val="21"/>
          <w:szCs w:val="21"/>
        </w:rPr>
        <w:t>…including</w:t>
      </w:r>
      <w:proofErr w:type="gramEnd"/>
      <w:r>
        <w:rPr>
          <w:rFonts w:ascii="Franklin Gothic Book" w:hAnsi="Franklin Gothic Book"/>
          <w:sz w:val="21"/>
          <w:szCs w:val="21"/>
        </w:rPr>
        <w:t xml:space="preserve"> low-income customers.”</w:t>
      </w:r>
      <w:r w:rsidRPr="00585473">
        <w:rPr>
          <w:rStyle w:val="FootnoteReference"/>
          <w:rFonts w:ascii="Franklin Gothic Book" w:hAnsi="Franklin Gothic Book"/>
          <w:sz w:val="21"/>
          <w:szCs w:val="21"/>
        </w:rPr>
        <w:t xml:space="preserve"> </w:t>
      </w:r>
      <w:r w:rsidRPr="00BD3BE7">
        <w:rPr>
          <w:rStyle w:val="FootnoteReference"/>
          <w:rFonts w:ascii="Franklin Gothic Book" w:hAnsi="Franklin Gothic Book"/>
          <w:sz w:val="21"/>
          <w:szCs w:val="21"/>
        </w:rPr>
        <w:footnoteReference w:id="5"/>
      </w:r>
      <w:r>
        <w:rPr>
          <w:rFonts w:ascii="Franklin Gothic Book" w:hAnsi="Franklin Gothic Book"/>
          <w:sz w:val="21"/>
          <w:szCs w:val="21"/>
        </w:rPr>
        <w:t xml:space="preserve"> </w:t>
      </w:r>
      <w:r w:rsidRPr="0048100A">
        <w:rPr>
          <w:rFonts w:ascii="Franklin Gothic Book" w:hAnsi="Franklin Gothic Book"/>
          <w:sz w:val="21"/>
          <w:szCs w:val="21"/>
        </w:rPr>
        <w:t>The low-income “carve-out” in Colorado</w:t>
      </w:r>
      <w:r>
        <w:rPr>
          <w:rFonts w:ascii="Franklin Gothic Book" w:hAnsi="Franklin Gothic Book"/>
          <w:sz w:val="21"/>
          <w:szCs w:val="21"/>
        </w:rPr>
        <w:t xml:space="preserve"> came out of the</w:t>
      </w:r>
      <w:r w:rsidRPr="0048100A">
        <w:rPr>
          <w:rFonts w:ascii="Franklin Gothic Book" w:hAnsi="Franklin Gothic Book"/>
          <w:sz w:val="21"/>
          <w:szCs w:val="21"/>
        </w:rPr>
        <w:t xml:space="preserve"> Colorado </w:t>
      </w:r>
      <w:r>
        <w:rPr>
          <w:rFonts w:ascii="Franklin Gothic Book" w:hAnsi="Franklin Gothic Book"/>
          <w:sz w:val="21"/>
          <w:szCs w:val="21"/>
        </w:rPr>
        <w:t>PUC’s</w:t>
      </w:r>
      <w:r w:rsidRPr="0048100A">
        <w:rPr>
          <w:rFonts w:ascii="Franklin Gothic Book" w:hAnsi="Franklin Gothic Book"/>
          <w:sz w:val="21"/>
          <w:szCs w:val="21"/>
        </w:rPr>
        <w:t xml:space="preserve"> rulemaking process implementing the </w:t>
      </w:r>
      <w:r>
        <w:rPr>
          <w:rFonts w:ascii="Franklin Gothic Book" w:hAnsi="Franklin Gothic Book"/>
          <w:sz w:val="21"/>
          <w:szCs w:val="21"/>
        </w:rPr>
        <w:t>program.</w:t>
      </w:r>
      <w:r w:rsidRPr="00BD3BE7">
        <w:rPr>
          <w:rStyle w:val="FootnoteReference"/>
          <w:rFonts w:ascii="Franklin Gothic Book" w:hAnsi="Franklin Gothic Book"/>
          <w:sz w:val="21"/>
          <w:szCs w:val="21"/>
        </w:rPr>
        <w:footnoteReference w:id="6"/>
      </w:r>
      <w:r w:rsidRPr="00BD3BE7">
        <w:rPr>
          <w:rFonts w:ascii="Franklin Gothic Book" w:hAnsi="Franklin Gothic Book"/>
          <w:sz w:val="21"/>
          <w:szCs w:val="21"/>
        </w:rPr>
        <w:t xml:space="preserve"> </w:t>
      </w:r>
      <w:r>
        <w:rPr>
          <w:rFonts w:ascii="Franklin Gothic Book" w:hAnsi="Franklin Gothic Book"/>
          <w:sz w:val="21"/>
          <w:szCs w:val="21"/>
        </w:rPr>
        <w:t xml:space="preserve"> </w:t>
      </w:r>
      <w:r w:rsidRPr="00BD3BE7">
        <w:rPr>
          <w:rFonts w:ascii="Franklin Gothic Book" w:hAnsi="Franklin Gothic Book"/>
          <w:sz w:val="21"/>
          <w:szCs w:val="21"/>
        </w:rPr>
        <w:t xml:space="preserve">The Colorado </w:t>
      </w:r>
      <w:r>
        <w:rPr>
          <w:rFonts w:ascii="Franklin Gothic Book" w:hAnsi="Franklin Gothic Book"/>
          <w:sz w:val="21"/>
          <w:szCs w:val="21"/>
        </w:rPr>
        <w:t>PUC</w:t>
      </w:r>
      <w:r w:rsidRPr="00BD3BE7">
        <w:rPr>
          <w:rFonts w:ascii="Franklin Gothic Book" w:hAnsi="Franklin Gothic Book"/>
          <w:sz w:val="21"/>
          <w:szCs w:val="21"/>
        </w:rPr>
        <w:t xml:space="preserve"> stated in its final rule: “In each plan to acquire renewable energy and RECs from CSGs, the investor owned [utility] shall reserve, to the extent there is demand for such ownership, at least five percent of its renewable energy purchases from new CSGs for eligible low-income CSG subscribers.”</w:t>
      </w:r>
      <w:r w:rsidRPr="00BD3BE7">
        <w:rPr>
          <w:rStyle w:val="FootnoteReference"/>
          <w:rFonts w:ascii="Franklin Gothic Book" w:hAnsi="Franklin Gothic Book"/>
          <w:sz w:val="21"/>
          <w:szCs w:val="21"/>
        </w:rPr>
        <w:footnoteReference w:id="7"/>
      </w:r>
      <w:r w:rsidRPr="00C84CED">
        <w:rPr>
          <w:rFonts w:ascii="Franklin Gothic Book" w:hAnsi="Franklin Gothic Book"/>
          <w:sz w:val="21"/>
          <w:szCs w:val="21"/>
        </w:rPr>
        <w:t xml:space="preserve"> Notably, the Colorado </w:t>
      </w:r>
      <w:r>
        <w:rPr>
          <w:rFonts w:ascii="Franklin Gothic Book" w:hAnsi="Franklin Gothic Book"/>
          <w:sz w:val="21"/>
          <w:szCs w:val="21"/>
        </w:rPr>
        <w:t>PUC</w:t>
      </w:r>
      <w:r w:rsidRPr="00C84CED">
        <w:rPr>
          <w:rFonts w:ascii="Franklin Gothic Book" w:hAnsi="Franklin Gothic Book"/>
          <w:sz w:val="21"/>
          <w:szCs w:val="21"/>
        </w:rPr>
        <w:t xml:space="preserve"> did not order a </w:t>
      </w:r>
      <w:r w:rsidRPr="00C84CED">
        <w:rPr>
          <w:rFonts w:ascii="Franklin Gothic Book" w:hAnsi="Franklin Gothic Book"/>
          <w:sz w:val="21"/>
          <w:szCs w:val="21"/>
        </w:rPr>
        <w:lastRenderedPageBreak/>
        <w:t>method or process for compliance.</w:t>
      </w:r>
      <w:r w:rsidRPr="0048100A">
        <w:rPr>
          <w:rFonts w:ascii="Franklin Gothic Book" w:hAnsi="Franklin Gothic Book"/>
          <w:sz w:val="21"/>
          <w:szCs w:val="21"/>
        </w:rPr>
        <w:t xml:space="preserve"> </w:t>
      </w:r>
      <w:r w:rsidR="00C44CE8" w:rsidRPr="0048100A">
        <w:rPr>
          <w:rFonts w:ascii="Franklin Gothic Book" w:hAnsi="Franklin Gothic Book"/>
          <w:sz w:val="21"/>
          <w:szCs w:val="21"/>
        </w:rPr>
        <w:t xml:space="preserve">As </w:t>
      </w:r>
      <w:r w:rsidR="00C44CE8">
        <w:rPr>
          <w:rFonts w:ascii="Franklin Gothic Book" w:hAnsi="Franklin Gothic Book"/>
          <w:sz w:val="21"/>
          <w:szCs w:val="21"/>
        </w:rPr>
        <w:t>implemented in Colorado, developers are responsible for ensuring compliance with the 5 percent carve-out.</w:t>
      </w:r>
    </w:p>
    <w:p w:rsidR="007A49CC" w:rsidRPr="0048100A"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W</w:t>
      </w:r>
      <w:r w:rsidRPr="00F1766F">
        <w:rPr>
          <w:rFonts w:ascii="Franklin Gothic Book" w:hAnsi="Franklin Gothic Book"/>
          <w:sz w:val="21"/>
          <w:szCs w:val="21"/>
        </w:rPr>
        <w:t>e understand that the effect of this mandated “carve-out” is that developers are essentially giving away CSG subscriptions</w:t>
      </w:r>
      <w:r>
        <w:rPr>
          <w:rFonts w:ascii="Franklin Gothic Book" w:hAnsi="Franklin Gothic Book"/>
          <w:sz w:val="21"/>
          <w:szCs w:val="21"/>
        </w:rPr>
        <w:t xml:space="preserve"> to low-income customers</w:t>
      </w:r>
      <w:r w:rsidRPr="00F1766F">
        <w:rPr>
          <w:rFonts w:ascii="Franklin Gothic Book" w:hAnsi="Franklin Gothic Book"/>
          <w:sz w:val="21"/>
          <w:szCs w:val="21"/>
        </w:rPr>
        <w:t xml:space="preserve"> in order to meet the 5 percent requirement</w:t>
      </w:r>
      <w:r>
        <w:rPr>
          <w:rFonts w:ascii="Franklin Gothic Book" w:hAnsi="Franklin Gothic Book"/>
          <w:sz w:val="21"/>
          <w:szCs w:val="21"/>
        </w:rPr>
        <w:t>.</w:t>
      </w:r>
      <w:r w:rsidRPr="00F1766F">
        <w:rPr>
          <w:rStyle w:val="FootnoteReference"/>
          <w:rFonts w:ascii="Franklin Gothic Book" w:hAnsi="Franklin Gothic Book"/>
          <w:sz w:val="21"/>
          <w:szCs w:val="21"/>
        </w:rPr>
        <w:footnoteReference w:id="8"/>
      </w:r>
      <w:r w:rsidRPr="00E84BEE">
        <w:rPr>
          <w:rFonts w:ascii="Franklin Gothic Book" w:hAnsi="Franklin Gothic Book"/>
          <w:sz w:val="21"/>
          <w:szCs w:val="21"/>
        </w:rPr>
        <w:t xml:space="preserve">  For example, a representative of </w:t>
      </w:r>
      <w:proofErr w:type="spellStart"/>
      <w:r w:rsidRPr="00E84BEE">
        <w:rPr>
          <w:rFonts w:ascii="Franklin Gothic Book" w:hAnsi="Franklin Gothic Book"/>
          <w:sz w:val="21"/>
          <w:szCs w:val="21"/>
        </w:rPr>
        <w:t>SunShare’s</w:t>
      </w:r>
      <w:proofErr w:type="spellEnd"/>
      <w:r w:rsidRPr="00E84BEE">
        <w:rPr>
          <w:rFonts w:ascii="Franklin Gothic Book" w:hAnsi="Franklin Gothic Book"/>
          <w:sz w:val="21"/>
          <w:szCs w:val="21"/>
        </w:rPr>
        <w:t xml:space="preserve"> Colorado office expl</w:t>
      </w:r>
      <w:r w:rsidRPr="00713795">
        <w:rPr>
          <w:rFonts w:ascii="Franklin Gothic Book" w:hAnsi="Franklin Gothic Book"/>
          <w:sz w:val="21"/>
          <w:szCs w:val="21"/>
        </w:rPr>
        <w:t xml:space="preserve">ained that, because of financers’ reluctance to finance low-income CSG subscribers, </w:t>
      </w:r>
      <w:proofErr w:type="spellStart"/>
      <w:r w:rsidRPr="00713795">
        <w:rPr>
          <w:rFonts w:ascii="Franklin Gothic Book" w:hAnsi="Franklin Gothic Book"/>
          <w:sz w:val="21"/>
          <w:szCs w:val="21"/>
        </w:rPr>
        <w:t>SunShare</w:t>
      </w:r>
      <w:proofErr w:type="spellEnd"/>
      <w:r w:rsidRPr="00713795">
        <w:rPr>
          <w:rFonts w:ascii="Franklin Gothic Book" w:hAnsi="Franklin Gothic Book"/>
          <w:sz w:val="21"/>
          <w:szCs w:val="21"/>
        </w:rPr>
        <w:t xml:space="preserve"> writes off that portion of each garden</w:t>
      </w:r>
      <w:r>
        <w:rPr>
          <w:rFonts w:ascii="Franklin Gothic Book" w:hAnsi="Franklin Gothic Book"/>
          <w:sz w:val="21"/>
          <w:szCs w:val="21"/>
        </w:rPr>
        <w:t>. Developers may also spread the cost across the other 95 percent of subscribers.</w:t>
      </w:r>
      <w:r w:rsidRPr="00713795">
        <w:rPr>
          <w:rFonts w:ascii="Franklin Gothic Book" w:hAnsi="Franklin Gothic Book"/>
          <w:sz w:val="21"/>
          <w:szCs w:val="21"/>
        </w:rPr>
        <w:t xml:space="preserve"> </w:t>
      </w:r>
      <w:proofErr w:type="gramStart"/>
      <w:r w:rsidRPr="00713795">
        <w:rPr>
          <w:rFonts w:ascii="Franklin Gothic Book" w:hAnsi="Franklin Gothic Book"/>
          <w:sz w:val="21"/>
          <w:szCs w:val="21"/>
        </w:rPr>
        <w:t>Further, financers are resistant to finance any garden that surpasses the 5 percent low-income requirement, even by one one-hundredth of a percent.</w:t>
      </w:r>
      <w:proofErr w:type="gramEnd"/>
      <w:r>
        <w:rPr>
          <w:rStyle w:val="FootnoteReference"/>
          <w:rFonts w:ascii="Franklin Gothic Book" w:hAnsi="Franklin Gothic Book"/>
          <w:sz w:val="21"/>
          <w:szCs w:val="21"/>
        </w:rPr>
        <w:footnoteReference w:id="9"/>
      </w:r>
      <w:r>
        <w:rPr>
          <w:rFonts w:ascii="Franklin Gothic Book" w:hAnsi="Franklin Gothic Book"/>
          <w:sz w:val="21"/>
          <w:szCs w:val="21"/>
        </w:rPr>
        <w:t xml:space="preserve"> </w:t>
      </w:r>
      <w:r w:rsidRPr="008E041E">
        <w:rPr>
          <w:rFonts w:ascii="Franklin Gothic Book" w:hAnsi="Franklin Gothic Book"/>
          <w:sz w:val="21"/>
          <w:szCs w:val="21"/>
        </w:rPr>
        <w:t>Thus, the 5</w:t>
      </w:r>
      <w:r w:rsidRPr="00BD3BE7">
        <w:rPr>
          <w:rFonts w:ascii="Franklin Gothic Book" w:hAnsi="Franklin Gothic Book"/>
          <w:sz w:val="21"/>
          <w:szCs w:val="21"/>
        </w:rPr>
        <w:t xml:space="preserve"> percent low-income “carve-out” has become a ceiling for low-income participation in Colorado’s CSG projects, rather than a floor.</w:t>
      </w:r>
    </w:p>
    <w:p w:rsidR="007A49CC" w:rsidRPr="00BD3BE7"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 xml:space="preserve">Although the requirement as implemented in Colorado guarantees </w:t>
      </w:r>
      <w:r w:rsidRPr="00BD3BE7">
        <w:rPr>
          <w:rFonts w:ascii="Franklin Gothic Book" w:hAnsi="Franklin Gothic Book"/>
          <w:i/>
          <w:sz w:val="21"/>
          <w:szCs w:val="21"/>
        </w:rPr>
        <w:t>s</w:t>
      </w:r>
      <w:r w:rsidRPr="00BD3BE7">
        <w:rPr>
          <w:rFonts w:ascii="Franklin Gothic Book" w:hAnsi="Franklin Gothic Book"/>
          <w:sz w:val="21"/>
          <w:szCs w:val="21"/>
        </w:rPr>
        <w:t xml:space="preserve">ome low-income </w:t>
      </w:r>
      <w:proofErr w:type="gramStart"/>
      <w:r w:rsidRPr="00BD3BE7">
        <w:rPr>
          <w:rFonts w:ascii="Franklin Gothic Book" w:hAnsi="Franklin Gothic Book"/>
          <w:sz w:val="21"/>
          <w:szCs w:val="21"/>
        </w:rPr>
        <w:t>households</w:t>
      </w:r>
      <w:proofErr w:type="gramEnd"/>
      <w:r w:rsidRPr="00BD3BE7">
        <w:rPr>
          <w:rFonts w:ascii="Franklin Gothic Book" w:hAnsi="Franklin Gothic Book"/>
          <w:sz w:val="21"/>
          <w:szCs w:val="21"/>
        </w:rPr>
        <w:t xml:space="preserve"> access to CSGs, it does not encourage developers to include these households in CSG projects</w:t>
      </w:r>
      <w:r>
        <w:rPr>
          <w:rFonts w:ascii="Franklin Gothic Book" w:hAnsi="Franklin Gothic Book"/>
          <w:sz w:val="21"/>
          <w:szCs w:val="21"/>
        </w:rPr>
        <w:t xml:space="preserve"> because moving above the 5 </w:t>
      </w:r>
      <w:r w:rsidRPr="00BD3BE7">
        <w:rPr>
          <w:rFonts w:ascii="Franklin Gothic Book" w:hAnsi="Franklin Gothic Book"/>
          <w:sz w:val="21"/>
          <w:szCs w:val="21"/>
        </w:rPr>
        <w:t xml:space="preserve">percent requirement would mean writing off increasingly larger portions of the CSG, quickly making it </w:t>
      </w:r>
      <w:proofErr w:type="spellStart"/>
      <w:r w:rsidRPr="00BD3BE7">
        <w:rPr>
          <w:rFonts w:ascii="Franklin Gothic Book" w:hAnsi="Franklin Gothic Book"/>
          <w:sz w:val="21"/>
          <w:szCs w:val="21"/>
        </w:rPr>
        <w:t>unfinanceable</w:t>
      </w:r>
      <w:proofErr w:type="spellEnd"/>
      <w:r w:rsidRPr="00BD3BE7">
        <w:rPr>
          <w:rFonts w:ascii="Franklin Gothic Book" w:hAnsi="Franklin Gothic Book"/>
          <w:sz w:val="21"/>
          <w:szCs w:val="21"/>
        </w:rPr>
        <w:t>. As a result,</w:t>
      </w:r>
      <w:r>
        <w:rPr>
          <w:rFonts w:ascii="Franklin Gothic Book" w:hAnsi="Franklin Gothic Book"/>
          <w:sz w:val="21"/>
          <w:szCs w:val="21"/>
        </w:rPr>
        <w:t xml:space="preserve"> the number of eligible low-income customers greatly exceeds the availability of low-income subscriptions under the 5 percent carve-out.</w:t>
      </w:r>
      <w:r w:rsidRPr="00BD3BE7">
        <w:rPr>
          <w:rFonts w:ascii="Franklin Gothic Book" w:hAnsi="Franklin Gothic Book"/>
          <w:sz w:val="21"/>
          <w:szCs w:val="21"/>
        </w:rPr>
        <w:t xml:space="preserve"> The requirement is seen as the bare minimum and has caused numerous financial issues for solar developers. However, a required carve-out </w:t>
      </w:r>
      <w:r>
        <w:rPr>
          <w:rFonts w:ascii="Franklin Gothic Book" w:hAnsi="Franklin Gothic Book"/>
          <w:sz w:val="21"/>
          <w:szCs w:val="21"/>
        </w:rPr>
        <w:t>does ensure access for some low-</w:t>
      </w:r>
      <w:r w:rsidRPr="00BD3BE7">
        <w:rPr>
          <w:rFonts w:ascii="Franklin Gothic Book" w:hAnsi="Franklin Gothic Book"/>
          <w:sz w:val="21"/>
          <w:szCs w:val="21"/>
        </w:rPr>
        <w:t>income households, while a higher voluntary target with incentives is not guaranteed to serve a minimum number of low-income subscribers.  On the whole, we do not support a mandatory carve-out</w:t>
      </w:r>
      <w:r>
        <w:rPr>
          <w:rFonts w:ascii="Franklin Gothic Book" w:hAnsi="Franklin Gothic Book"/>
          <w:sz w:val="21"/>
          <w:szCs w:val="21"/>
        </w:rPr>
        <w:t xml:space="preserve"> at this time. As the carve-out is implemented in Colorado, the same program may fail</w:t>
      </w:r>
      <w:r w:rsidRPr="00BD3BE7">
        <w:rPr>
          <w:rFonts w:ascii="Franklin Gothic Book" w:hAnsi="Franklin Gothic Book"/>
          <w:sz w:val="21"/>
          <w:szCs w:val="21"/>
        </w:rPr>
        <w:t xml:space="preserve"> to reasonably allow for the financing and accessibility of CSGs as required by Minnesota Statute.</w:t>
      </w:r>
      <w:r w:rsidRPr="00BD3BE7">
        <w:rPr>
          <w:rStyle w:val="FootnoteReference"/>
          <w:rFonts w:ascii="Franklin Gothic Book" w:hAnsi="Franklin Gothic Book"/>
          <w:sz w:val="21"/>
          <w:szCs w:val="21"/>
        </w:rPr>
        <w:footnoteReference w:id="10"/>
      </w:r>
    </w:p>
    <w:p w:rsidR="007A49CC" w:rsidRPr="00BD3BE7" w:rsidRDefault="007A49CC" w:rsidP="007A49CC">
      <w:pPr>
        <w:spacing w:line="360" w:lineRule="auto"/>
        <w:ind w:left="360"/>
        <w:rPr>
          <w:rFonts w:ascii="Franklin Gothic Book" w:hAnsi="Franklin Gothic Book"/>
          <w:sz w:val="21"/>
          <w:szCs w:val="21"/>
        </w:rPr>
      </w:pPr>
    </w:p>
    <w:p w:rsidR="007A49CC" w:rsidRPr="0048100A" w:rsidRDefault="007A49CC" w:rsidP="007A49CC">
      <w:pPr>
        <w:pStyle w:val="ListParagraph"/>
        <w:numPr>
          <w:ilvl w:val="0"/>
          <w:numId w:val="1"/>
        </w:numPr>
        <w:spacing w:line="360" w:lineRule="auto"/>
        <w:rPr>
          <w:rFonts w:ascii="Franklin Gothic Book" w:hAnsi="Franklin Gothic Book"/>
          <w:b/>
          <w:sz w:val="21"/>
          <w:szCs w:val="21"/>
        </w:rPr>
      </w:pPr>
      <w:r w:rsidRPr="0048100A">
        <w:rPr>
          <w:rFonts w:ascii="Franklin Gothic Book" w:hAnsi="Franklin Gothic Book"/>
          <w:b/>
          <w:sz w:val="21"/>
          <w:szCs w:val="21"/>
        </w:rPr>
        <w:t>Proposed Solutions</w:t>
      </w:r>
    </w:p>
    <w:p w:rsidR="007A49CC" w:rsidRDefault="007A49CC" w:rsidP="007A49CC">
      <w:pPr>
        <w:pStyle w:val="ListParagraph"/>
        <w:spacing w:line="360" w:lineRule="auto"/>
        <w:ind w:left="0"/>
        <w:rPr>
          <w:rFonts w:ascii="Franklin Gothic Book" w:hAnsi="Franklin Gothic Book"/>
          <w:sz w:val="21"/>
          <w:szCs w:val="21"/>
        </w:rPr>
      </w:pPr>
    </w:p>
    <w:p w:rsidR="007A49CC" w:rsidRPr="00BD3BE7" w:rsidRDefault="007A49CC" w:rsidP="007A49CC">
      <w:pPr>
        <w:pStyle w:val="ListParagraph"/>
        <w:spacing w:line="360" w:lineRule="auto"/>
        <w:ind w:left="0"/>
        <w:rPr>
          <w:rFonts w:ascii="Franklin Gothic Book" w:hAnsi="Franklin Gothic Book"/>
          <w:sz w:val="21"/>
          <w:szCs w:val="21"/>
        </w:rPr>
      </w:pPr>
      <w:r w:rsidRPr="00493D91">
        <w:rPr>
          <w:rFonts w:ascii="Franklin Gothic Book" w:hAnsi="Franklin Gothic Book"/>
          <w:sz w:val="21"/>
          <w:szCs w:val="21"/>
        </w:rPr>
        <w:t>In taking steps to encourage broader participation in Xcel’s CSG program, the Commission will need to define</w:t>
      </w:r>
      <w:r w:rsidRPr="00BD3BE7">
        <w:rPr>
          <w:rFonts w:ascii="Franklin Gothic Book" w:hAnsi="Franklin Gothic Book"/>
          <w:b/>
          <w:sz w:val="21"/>
          <w:szCs w:val="21"/>
        </w:rPr>
        <w:t xml:space="preserve"> </w:t>
      </w:r>
      <w:r w:rsidRPr="00493D91">
        <w:rPr>
          <w:rFonts w:ascii="Franklin Gothic Book" w:hAnsi="Franklin Gothic Book"/>
          <w:sz w:val="21"/>
          <w:szCs w:val="21"/>
        </w:rPr>
        <w:t xml:space="preserve">which customers qualify. Many customers with poor or insufficient credit history but otherwise sound financial standing may be left out of a program rule based on income alone. As discussed above, although there may be correlation, there is not always a causal link income and credit score. Thus, while </w:t>
      </w:r>
      <w:r w:rsidRPr="00493D91">
        <w:rPr>
          <w:rFonts w:ascii="Franklin Gothic Book" w:hAnsi="Franklin Gothic Book"/>
          <w:sz w:val="21"/>
          <w:szCs w:val="21"/>
        </w:rPr>
        <w:lastRenderedPageBreak/>
        <w:t>we offer a proposed definition of “low-income” for the Commission’s consideration, we recommend that the Commission revisit other methods (such as utility bill repayment history) of reaching and defining a larger customer class in the future.</w:t>
      </w:r>
    </w:p>
    <w:p w:rsidR="007A49CC" w:rsidRPr="00C84CED" w:rsidRDefault="007A49CC" w:rsidP="007A49CC">
      <w:pPr>
        <w:pStyle w:val="ListParagraph"/>
        <w:spacing w:line="360" w:lineRule="auto"/>
        <w:ind w:left="0"/>
        <w:rPr>
          <w:rFonts w:ascii="Franklin Gothic Book" w:hAnsi="Franklin Gothic Book"/>
          <w:b/>
          <w:sz w:val="21"/>
          <w:szCs w:val="21"/>
        </w:rPr>
      </w:pPr>
    </w:p>
    <w:p w:rsidR="007A49CC" w:rsidRPr="0048100A" w:rsidRDefault="007A49CC" w:rsidP="007A49CC">
      <w:pPr>
        <w:pStyle w:val="ListParagraph"/>
        <w:numPr>
          <w:ilvl w:val="1"/>
          <w:numId w:val="1"/>
        </w:numPr>
        <w:spacing w:line="360" w:lineRule="auto"/>
        <w:rPr>
          <w:rFonts w:ascii="Franklin Gothic Book" w:hAnsi="Franklin Gothic Book"/>
          <w:b/>
          <w:sz w:val="21"/>
          <w:szCs w:val="21"/>
        </w:rPr>
      </w:pPr>
      <w:r w:rsidRPr="0048100A">
        <w:rPr>
          <w:rFonts w:ascii="Franklin Gothic Book" w:hAnsi="Franklin Gothic Book"/>
          <w:b/>
          <w:sz w:val="21"/>
          <w:szCs w:val="21"/>
        </w:rPr>
        <w:t>Low-income definition</w:t>
      </w:r>
    </w:p>
    <w:p w:rsidR="007A49CC" w:rsidRPr="0048100A"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 xml:space="preserve">In order to maximize inclusion of low-income subscribers in CSG projects, a clear definition of “low-income” should be established. Using a clear definition to determine which customers qualify as low-income would provide consistency and clarity for all parties involved in CSG projects. </w:t>
      </w:r>
    </w:p>
    <w:p w:rsidR="007A49CC" w:rsidRPr="0048100A"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sidRPr="00F1766F">
        <w:rPr>
          <w:rFonts w:ascii="Franklin Gothic Book" w:hAnsi="Franklin Gothic Book"/>
          <w:sz w:val="21"/>
          <w:szCs w:val="21"/>
        </w:rPr>
        <w:t xml:space="preserve">Programs in other states use a variety of low-income definitions. California’s Single-Family Affordable Solar Homes program, for example, </w:t>
      </w:r>
      <w:r>
        <w:rPr>
          <w:rFonts w:ascii="Franklin Gothic Book" w:hAnsi="Franklin Gothic Book"/>
          <w:sz w:val="21"/>
          <w:szCs w:val="21"/>
        </w:rPr>
        <w:t>limits</w:t>
      </w:r>
      <w:r w:rsidRPr="00F1766F">
        <w:rPr>
          <w:rFonts w:ascii="Franklin Gothic Book" w:hAnsi="Franklin Gothic Book"/>
          <w:sz w:val="21"/>
          <w:szCs w:val="21"/>
        </w:rPr>
        <w:t xml:space="preserve"> eligibility</w:t>
      </w:r>
      <w:r>
        <w:rPr>
          <w:rFonts w:ascii="Franklin Gothic Book" w:hAnsi="Franklin Gothic Book"/>
          <w:sz w:val="21"/>
          <w:szCs w:val="21"/>
        </w:rPr>
        <w:t xml:space="preserve"> at 80 percent of area median income (AMI),</w:t>
      </w:r>
      <w:r>
        <w:rPr>
          <w:rStyle w:val="FootnoteReference"/>
          <w:rFonts w:ascii="Franklin Gothic Book" w:hAnsi="Franklin Gothic Book"/>
          <w:sz w:val="21"/>
          <w:szCs w:val="21"/>
        </w:rPr>
        <w:footnoteReference w:id="11"/>
      </w:r>
      <w:r>
        <w:rPr>
          <w:rFonts w:ascii="Franklin Gothic Book" w:hAnsi="Franklin Gothic Book"/>
          <w:sz w:val="21"/>
          <w:szCs w:val="21"/>
        </w:rPr>
        <w:t xml:space="preserve"> which is also the “low-income” definition used by the U.S.</w:t>
      </w:r>
      <w:r w:rsidRPr="00F1766F">
        <w:rPr>
          <w:rFonts w:ascii="Franklin Gothic Book" w:hAnsi="Franklin Gothic Book"/>
          <w:sz w:val="21"/>
          <w:szCs w:val="21"/>
        </w:rPr>
        <w:t xml:space="preserve"> Department of Housing and Urban Development (HUD) </w:t>
      </w:r>
      <w:r>
        <w:rPr>
          <w:rFonts w:ascii="Franklin Gothic Book" w:hAnsi="Franklin Gothic Book"/>
          <w:sz w:val="21"/>
          <w:szCs w:val="21"/>
        </w:rPr>
        <w:t>for the purposes of Section 8 housing and other means-based programs.</w:t>
      </w:r>
      <w:r w:rsidRPr="00F1766F">
        <w:rPr>
          <w:rStyle w:val="FootnoteReference"/>
          <w:rFonts w:ascii="Franklin Gothic Book" w:hAnsi="Franklin Gothic Book"/>
          <w:sz w:val="21"/>
          <w:szCs w:val="21"/>
        </w:rPr>
        <w:footnoteReference w:id="12"/>
      </w:r>
      <w:r>
        <w:rPr>
          <w:rFonts w:ascii="Franklin Gothic Book" w:hAnsi="Franklin Gothic Book"/>
          <w:sz w:val="21"/>
          <w:szCs w:val="21"/>
        </w:rPr>
        <w:t xml:space="preserve"> In New York, a “low-income” customer is defined as a customer who receives benefits under the state’s Home Energy Assistance Program or a utility-administered low-income discount program.</w:t>
      </w:r>
      <w:r>
        <w:rPr>
          <w:rStyle w:val="FootnoteReference"/>
          <w:rFonts w:ascii="Franklin Gothic Book" w:hAnsi="Franklin Gothic Book"/>
          <w:sz w:val="21"/>
          <w:szCs w:val="21"/>
        </w:rPr>
        <w:footnoteReference w:id="13"/>
      </w:r>
      <w:r w:rsidRPr="00F1766F">
        <w:rPr>
          <w:rFonts w:ascii="Franklin Gothic Book" w:hAnsi="Franklin Gothic Book"/>
          <w:sz w:val="21"/>
          <w:szCs w:val="21"/>
        </w:rPr>
        <w:t xml:space="preserve"> </w:t>
      </w:r>
      <w:r>
        <w:rPr>
          <w:rFonts w:ascii="Franklin Gothic Book" w:hAnsi="Franklin Gothic Book"/>
          <w:sz w:val="21"/>
          <w:szCs w:val="21"/>
        </w:rPr>
        <w:t xml:space="preserve">In Colorado, </w:t>
      </w:r>
      <w:r w:rsidRPr="00F1766F">
        <w:rPr>
          <w:rFonts w:ascii="Franklin Gothic Book" w:hAnsi="Franklin Gothic Book"/>
          <w:sz w:val="21"/>
          <w:szCs w:val="21"/>
        </w:rPr>
        <w:t>Xcel Energy</w:t>
      </w:r>
      <w:r>
        <w:rPr>
          <w:rFonts w:ascii="Franklin Gothic Book" w:hAnsi="Franklin Gothic Book"/>
          <w:sz w:val="21"/>
          <w:szCs w:val="21"/>
        </w:rPr>
        <w:t xml:space="preserve"> established that for the purposes of its community solar program, any subscriber that receives services from the Company’s  approved organizations (Energy Outreach Colorado, The Atmosphere Conservancy, Colorado LEAP Program, and a Municipal Housing Authority such as the Denver Housing Authority)</w:t>
      </w:r>
      <w:r w:rsidRPr="00F1766F">
        <w:rPr>
          <w:rFonts w:ascii="Franklin Gothic Book" w:hAnsi="Franklin Gothic Book"/>
          <w:sz w:val="21"/>
          <w:szCs w:val="21"/>
        </w:rPr>
        <w:t xml:space="preserve"> qualifies under the community solar low-income carve out.</w:t>
      </w:r>
      <w:r w:rsidRPr="00F1766F">
        <w:rPr>
          <w:rStyle w:val="FootnoteReference"/>
          <w:rFonts w:ascii="Franklin Gothic Book" w:hAnsi="Franklin Gothic Book"/>
          <w:sz w:val="21"/>
          <w:szCs w:val="21"/>
        </w:rPr>
        <w:footnoteReference w:id="14"/>
      </w:r>
    </w:p>
    <w:p w:rsidR="007A49CC" w:rsidRPr="0048100A" w:rsidRDefault="007A49CC" w:rsidP="007A49CC">
      <w:pPr>
        <w:spacing w:line="360" w:lineRule="auto"/>
        <w:rPr>
          <w:rFonts w:ascii="Franklin Gothic Book" w:hAnsi="Franklin Gothic Book"/>
          <w:sz w:val="21"/>
          <w:szCs w:val="21"/>
        </w:rPr>
      </w:pPr>
    </w:p>
    <w:p w:rsidR="007A49CC"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We recommend that the Commission take the following hybrid approach: first, define “low-income” eligibility as households that earn up to 80 percent of area median income (AMI) per year for eligibility in the recommendations we propose below.</w:t>
      </w:r>
    </w:p>
    <w:p w:rsidR="007A49CC" w:rsidRDefault="007A49CC" w:rsidP="007A49CC">
      <w:pPr>
        <w:spacing w:line="360" w:lineRule="auto"/>
        <w:rPr>
          <w:rFonts w:ascii="Franklin Gothic Book" w:hAnsi="Franklin Gothic Book"/>
          <w:sz w:val="21"/>
          <w:szCs w:val="21"/>
        </w:rPr>
      </w:pPr>
    </w:p>
    <w:p w:rsidR="007A49CC" w:rsidRPr="00E84BEE" w:rsidRDefault="007A49CC" w:rsidP="007A49CC">
      <w:pPr>
        <w:spacing w:line="360" w:lineRule="auto"/>
        <w:rPr>
          <w:rFonts w:ascii="Franklin Gothic Book" w:hAnsi="Franklin Gothic Book"/>
          <w:sz w:val="21"/>
          <w:szCs w:val="21"/>
        </w:rPr>
      </w:pPr>
      <w:r w:rsidRPr="00E84BEE">
        <w:rPr>
          <w:rFonts w:ascii="Franklin Gothic Book" w:hAnsi="Franklin Gothic Book"/>
          <w:sz w:val="21"/>
          <w:szCs w:val="21"/>
        </w:rPr>
        <w:lastRenderedPageBreak/>
        <w:t xml:space="preserve">The table below lists the HUD income limits of “low-income” for Minnesota in 2015. </w:t>
      </w:r>
      <w:r w:rsidRPr="00E84BEE">
        <w:rPr>
          <w:rStyle w:val="FootnoteReference"/>
          <w:rFonts w:ascii="Franklin Gothic Book" w:hAnsi="Franklin Gothic Book"/>
          <w:sz w:val="21"/>
          <w:szCs w:val="21"/>
        </w:rPr>
        <w:footnoteReference w:id="15"/>
      </w:r>
    </w:p>
    <w:tbl>
      <w:tblPr>
        <w:tblW w:w="0" w:type="auto"/>
        <w:tblInd w:w="537" w:type="dxa"/>
        <w:tblLook w:val="04A0" w:firstRow="1" w:lastRow="0" w:firstColumn="1" w:lastColumn="0" w:noHBand="0" w:noVBand="1"/>
      </w:tblPr>
      <w:tblGrid>
        <w:gridCol w:w="3712"/>
        <w:gridCol w:w="3599"/>
      </w:tblGrid>
      <w:tr w:rsidR="007A49CC" w:rsidRPr="000F015E" w:rsidTr="00493D91">
        <w:trPr>
          <w:trHeight w:val="630"/>
        </w:trPr>
        <w:tc>
          <w:tcPr>
            <w:tcW w:w="3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rPr>
                <w:rFonts w:ascii="Franklin Gothic Book" w:eastAsia="Times New Roman" w:hAnsi="Franklin Gothic Book" w:cs="Arial"/>
                <w:b/>
                <w:bCs/>
                <w:sz w:val="21"/>
                <w:szCs w:val="21"/>
              </w:rPr>
            </w:pPr>
            <w:r w:rsidRPr="000F015E">
              <w:rPr>
                <w:rFonts w:ascii="Franklin Gothic Book" w:eastAsia="Times New Roman" w:hAnsi="Franklin Gothic Book" w:cs="Arial"/>
                <w:b/>
                <w:bCs/>
                <w:sz w:val="21"/>
                <w:szCs w:val="21"/>
              </w:rPr>
              <w:t>Household Size</w:t>
            </w:r>
          </w:p>
        </w:tc>
        <w:tc>
          <w:tcPr>
            <w:tcW w:w="3599" w:type="dxa"/>
            <w:tcBorders>
              <w:top w:val="single" w:sz="4" w:space="0" w:color="auto"/>
              <w:left w:val="nil"/>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b/>
                <w:bCs/>
                <w:sz w:val="21"/>
                <w:szCs w:val="21"/>
              </w:rPr>
            </w:pPr>
            <w:r w:rsidRPr="000F015E">
              <w:rPr>
                <w:rFonts w:ascii="Franklin Gothic Book" w:eastAsia="Times New Roman" w:hAnsi="Franklin Gothic Book" w:cs="Arial"/>
                <w:b/>
                <w:bCs/>
                <w:sz w:val="21"/>
                <w:szCs w:val="21"/>
              </w:rPr>
              <w:t>HUD Low-income (Minnesota FY 2015)</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1</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43,350</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2</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49,550</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3</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55,750</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4</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61,900</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5</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66,850</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6</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71,850</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7</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76,800</w:t>
            </w:r>
          </w:p>
        </w:tc>
      </w:tr>
      <w:tr w:rsidR="007A49CC" w:rsidRPr="000F015E" w:rsidTr="00493D91">
        <w:trPr>
          <w:trHeight w:val="306"/>
        </w:trPr>
        <w:tc>
          <w:tcPr>
            <w:tcW w:w="3712" w:type="dxa"/>
            <w:tcBorders>
              <w:top w:val="nil"/>
              <w:left w:val="single" w:sz="4" w:space="0" w:color="auto"/>
              <w:bottom w:val="single" w:sz="4" w:space="0" w:color="auto"/>
              <w:right w:val="single" w:sz="4" w:space="0" w:color="auto"/>
            </w:tcBorders>
            <w:shd w:val="clear" w:color="auto" w:fill="auto"/>
            <w:vAlign w:val="center"/>
            <w:hideMark/>
          </w:tcPr>
          <w:p w:rsidR="007A49CC" w:rsidRPr="000F015E" w:rsidRDefault="007A49CC" w:rsidP="00493D91">
            <w:pPr>
              <w:jc w:val="center"/>
              <w:rPr>
                <w:rFonts w:ascii="Franklin Gothic Book" w:eastAsia="Times New Roman" w:hAnsi="Franklin Gothic Book" w:cs="Arial"/>
                <w:sz w:val="21"/>
                <w:szCs w:val="21"/>
              </w:rPr>
            </w:pPr>
            <w:r w:rsidRPr="000F015E">
              <w:rPr>
                <w:rFonts w:ascii="Franklin Gothic Book" w:eastAsia="Times New Roman" w:hAnsi="Franklin Gothic Book" w:cs="Arial"/>
                <w:sz w:val="21"/>
                <w:szCs w:val="21"/>
              </w:rPr>
              <w:t>8</w:t>
            </w:r>
          </w:p>
        </w:tc>
        <w:tc>
          <w:tcPr>
            <w:tcW w:w="3599" w:type="dxa"/>
            <w:tcBorders>
              <w:top w:val="nil"/>
              <w:left w:val="nil"/>
              <w:bottom w:val="single" w:sz="4" w:space="0" w:color="auto"/>
              <w:right w:val="single" w:sz="4" w:space="0" w:color="auto"/>
            </w:tcBorders>
            <w:shd w:val="clear" w:color="auto" w:fill="auto"/>
            <w:noWrap/>
            <w:vAlign w:val="bottom"/>
            <w:hideMark/>
          </w:tcPr>
          <w:p w:rsidR="007A49CC" w:rsidRPr="000F015E" w:rsidRDefault="007A49CC" w:rsidP="00493D91">
            <w:pPr>
              <w:jc w:val="center"/>
              <w:rPr>
                <w:rFonts w:ascii="Franklin Gothic Book" w:eastAsia="Times New Roman" w:hAnsi="Franklin Gothic Book" w:cs="Times New Roman"/>
                <w:sz w:val="21"/>
                <w:szCs w:val="21"/>
              </w:rPr>
            </w:pPr>
            <w:r w:rsidRPr="000F015E">
              <w:rPr>
                <w:rFonts w:ascii="Franklin Gothic Book" w:eastAsia="Times New Roman" w:hAnsi="Franklin Gothic Book" w:cs="Times New Roman"/>
                <w:sz w:val="21"/>
                <w:szCs w:val="21"/>
              </w:rPr>
              <w:t>$        81,750</w:t>
            </w:r>
          </w:p>
        </w:tc>
      </w:tr>
    </w:tbl>
    <w:p w:rsidR="007A49CC" w:rsidRDefault="007A49CC" w:rsidP="007A49CC">
      <w:pPr>
        <w:spacing w:line="360" w:lineRule="auto"/>
        <w:rPr>
          <w:rFonts w:ascii="Franklin Gothic Book" w:hAnsi="Franklin Gothic Book"/>
          <w:sz w:val="21"/>
          <w:szCs w:val="21"/>
        </w:rPr>
      </w:pPr>
    </w:p>
    <w:p w:rsidR="007A49CC" w:rsidRPr="00C84CED"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Under this recommendation, each developer would be required to verify a customer</w:t>
      </w:r>
      <w:r w:rsidRPr="00F1766F">
        <w:rPr>
          <w:rFonts w:ascii="Franklin Gothic Book" w:hAnsi="Franklin Gothic Book"/>
          <w:sz w:val="21"/>
          <w:szCs w:val="21"/>
        </w:rPr>
        <w:t xml:space="preserve">’s income and submit </w:t>
      </w:r>
      <w:r>
        <w:rPr>
          <w:rFonts w:ascii="Franklin Gothic Book" w:hAnsi="Franklin Gothic Book"/>
          <w:sz w:val="21"/>
          <w:szCs w:val="21"/>
        </w:rPr>
        <w:t>a verification</w:t>
      </w:r>
      <w:r w:rsidRPr="00F1766F">
        <w:rPr>
          <w:rFonts w:ascii="Franklin Gothic Book" w:hAnsi="Franklin Gothic Book"/>
          <w:sz w:val="21"/>
          <w:szCs w:val="21"/>
        </w:rPr>
        <w:t xml:space="preserve"> form to Xcel Energy</w:t>
      </w:r>
      <w:r>
        <w:rPr>
          <w:rFonts w:ascii="Franklin Gothic Book" w:hAnsi="Franklin Gothic Book"/>
          <w:sz w:val="21"/>
          <w:szCs w:val="21"/>
        </w:rPr>
        <w:t>, updating this information with Xcel on an annual basis</w:t>
      </w:r>
      <w:r w:rsidRPr="00C84CED">
        <w:rPr>
          <w:rFonts w:ascii="Franklin Gothic Book" w:hAnsi="Franklin Gothic Book"/>
          <w:sz w:val="21"/>
          <w:szCs w:val="21"/>
        </w:rPr>
        <w:t>.</w:t>
      </w:r>
      <w:r w:rsidRPr="00C84CED">
        <w:rPr>
          <w:rStyle w:val="FootnoteReference"/>
          <w:rFonts w:ascii="Franklin Gothic Book" w:hAnsi="Franklin Gothic Book"/>
          <w:sz w:val="21"/>
          <w:szCs w:val="21"/>
        </w:rPr>
        <w:t xml:space="preserve"> </w:t>
      </w:r>
      <w:r w:rsidRPr="00C84CED">
        <w:rPr>
          <w:rFonts w:ascii="Franklin Gothic Book" w:hAnsi="Franklin Gothic Book"/>
          <w:sz w:val="21"/>
          <w:szCs w:val="21"/>
        </w:rPr>
        <w:t>We understand that Xcel’s process in Colorado uses a similar structure, which would reduce the administrative costs to the utility to implement this recommendation in Minnesota.</w:t>
      </w:r>
      <w:r>
        <w:rPr>
          <w:rFonts w:ascii="Franklin Gothic Book" w:hAnsi="Franklin Gothic Book"/>
          <w:sz w:val="21"/>
          <w:szCs w:val="21"/>
        </w:rPr>
        <w:t xml:space="preserve"> The Colorado verification form is attached to these comments for informational purposes.</w:t>
      </w:r>
    </w:p>
    <w:p w:rsidR="007A49CC" w:rsidRPr="0048100A" w:rsidRDefault="007A49CC" w:rsidP="007A49CC">
      <w:pPr>
        <w:spacing w:line="360" w:lineRule="auto"/>
        <w:rPr>
          <w:rFonts w:ascii="Franklin Gothic Book" w:hAnsi="Franklin Gothic Book"/>
          <w:sz w:val="21"/>
          <w:szCs w:val="21"/>
        </w:rPr>
      </w:pPr>
    </w:p>
    <w:p w:rsidR="007A49CC" w:rsidRPr="00C84CED"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In Colorado, the Xcel-approved third-party organization reviews a subscriber’s completed Consent to Disclose Utility Information,</w:t>
      </w:r>
      <w:r w:rsidRPr="0048100A">
        <w:rPr>
          <w:rStyle w:val="FootnoteReference"/>
          <w:rFonts w:ascii="Franklin Gothic Book" w:hAnsi="Franklin Gothic Book"/>
          <w:sz w:val="21"/>
          <w:szCs w:val="21"/>
        </w:rPr>
        <w:footnoteReference w:id="16"/>
      </w:r>
      <w:r w:rsidRPr="0048100A">
        <w:rPr>
          <w:rFonts w:ascii="Franklin Gothic Book" w:hAnsi="Franklin Gothic Book"/>
          <w:sz w:val="21"/>
          <w:szCs w:val="21"/>
        </w:rPr>
        <w:t xml:space="preserve"> Subscriber Agency Agreement,</w:t>
      </w:r>
      <w:r w:rsidRPr="0048100A">
        <w:rPr>
          <w:rStyle w:val="FootnoteReference"/>
          <w:rFonts w:ascii="Franklin Gothic Book" w:hAnsi="Franklin Gothic Book"/>
          <w:sz w:val="21"/>
          <w:szCs w:val="21"/>
        </w:rPr>
        <w:footnoteReference w:id="17"/>
      </w:r>
      <w:r w:rsidRPr="00F1766F">
        <w:rPr>
          <w:rFonts w:ascii="Franklin Gothic Book" w:hAnsi="Franklin Gothic Book"/>
          <w:sz w:val="21"/>
          <w:szCs w:val="21"/>
        </w:rPr>
        <w:t xml:space="preserve"> and Low-Income Verification Form.</w:t>
      </w:r>
      <w:r w:rsidRPr="00F1766F">
        <w:rPr>
          <w:rStyle w:val="FootnoteReference"/>
          <w:rFonts w:ascii="Franklin Gothic Book" w:hAnsi="Franklin Gothic Book"/>
          <w:sz w:val="21"/>
          <w:szCs w:val="21"/>
        </w:rPr>
        <w:footnoteReference w:id="18"/>
      </w:r>
      <w:r w:rsidRPr="00F1766F">
        <w:rPr>
          <w:rFonts w:ascii="Franklin Gothic Book" w:hAnsi="Franklin Gothic Book"/>
          <w:sz w:val="21"/>
          <w:szCs w:val="21"/>
        </w:rPr>
        <w:t xml:space="preserve"> The organization verifies each subscriber’s income and signs off on the Low-Income Verification Form, and the developer uploads all information to a portal provided by Xcel Energy. Xcel’s portal automatically tracks a customer’s account number and</w:t>
      </w:r>
      <w:r>
        <w:rPr>
          <w:rFonts w:ascii="Franklin Gothic Book" w:hAnsi="Franklin Gothic Book"/>
          <w:sz w:val="21"/>
          <w:szCs w:val="21"/>
        </w:rPr>
        <w:t xml:space="preserve"> premise</w:t>
      </w:r>
      <w:r w:rsidRPr="00F1766F">
        <w:rPr>
          <w:rFonts w:ascii="Franklin Gothic Book" w:hAnsi="Franklin Gothic Book"/>
          <w:sz w:val="21"/>
          <w:szCs w:val="21"/>
        </w:rPr>
        <w:t xml:space="preserve"> number. When a customer </w:t>
      </w:r>
      <w:r>
        <w:rPr>
          <w:rFonts w:ascii="Franklin Gothic Book" w:hAnsi="Franklin Gothic Book"/>
          <w:sz w:val="21"/>
          <w:szCs w:val="21"/>
        </w:rPr>
        <w:t xml:space="preserve">marked as low-income for the purposes of the carve-out </w:t>
      </w:r>
      <w:r w:rsidRPr="00F1766F">
        <w:rPr>
          <w:rFonts w:ascii="Franklin Gothic Book" w:hAnsi="Franklin Gothic Book"/>
          <w:sz w:val="21"/>
          <w:szCs w:val="21"/>
        </w:rPr>
        <w:t>leaves a CSG project</w:t>
      </w:r>
      <w:r w:rsidRPr="00E84BEE">
        <w:rPr>
          <w:rFonts w:ascii="Franklin Gothic Book" w:hAnsi="Franklin Gothic Book"/>
          <w:sz w:val="21"/>
          <w:szCs w:val="21"/>
        </w:rPr>
        <w:t xml:space="preserve"> (</w:t>
      </w:r>
      <w:r>
        <w:rPr>
          <w:rFonts w:ascii="Franklin Gothic Book" w:hAnsi="Franklin Gothic Book"/>
          <w:sz w:val="21"/>
          <w:szCs w:val="21"/>
        </w:rPr>
        <w:t xml:space="preserve">e.g., by moving </w:t>
      </w:r>
      <w:r w:rsidRPr="00E84BEE">
        <w:rPr>
          <w:rFonts w:ascii="Franklin Gothic Book" w:hAnsi="Franklin Gothic Book"/>
          <w:sz w:val="21"/>
          <w:szCs w:val="21"/>
        </w:rPr>
        <w:t>addresses), Xcel’s tracking system notifies the developer that the CSG is out of compliance.</w:t>
      </w:r>
      <w:r>
        <w:rPr>
          <w:rFonts w:ascii="Franklin Gothic Book" w:hAnsi="Franklin Gothic Book"/>
          <w:sz w:val="21"/>
          <w:szCs w:val="21"/>
        </w:rPr>
        <w:t xml:space="preserve"> Xcel uses the same sales force system in both states, and could replicate these Colorado processes in Minnesota.</w:t>
      </w:r>
    </w:p>
    <w:p w:rsidR="007A49CC" w:rsidRPr="0048100A" w:rsidRDefault="007A49CC" w:rsidP="007A49CC">
      <w:pPr>
        <w:spacing w:line="360" w:lineRule="auto"/>
        <w:rPr>
          <w:rFonts w:ascii="Franklin Gothic Book" w:hAnsi="Franklin Gothic Book"/>
          <w:sz w:val="21"/>
          <w:szCs w:val="21"/>
        </w:rPr>
      </w:pPr>
    </w:p>
    <w:p w:rsidR="007A49CC" w:rsidRPr="00C84CED"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 xml:space="preserve">This process would be best enabled through partnerships with organizations including, but not limited to, </w:t>
      </w:r>
      <w:r w:rsidRPr="00F1766F">
        <w:rPr>
          <w:rFonts w:ascii="Franklin Gothic Book" w:hAnsi="Franklin Gothic Book"/>
          <w:sz w:val="21"/>
          <w:szCs w:val="21"/>
        </w:rPr>
        <w:t>community action agencies, low-income service providers, and affordable housing organizations.</w:t>
      </w:r>
      <w:r w:rsidRPr="00F1766F">
        <w:rPr>
          <w:rStyle w:val="FootnoteReference"/>
          <w:rFonts w:ascii="Franklin Gothic Book" w:hAnsi="Franklin Gothic Book"/>
          <w:sz w:val="21"/>
          <w:szCs w:val="21"/>
        </w:rPr>
        <w:t xml:space="preserve"> </w:t>
      </w:r>
      <w:r w:rsidRPr="00F1766F">
        <w:rPr>
          <w:rFonts w:ascii="Franklin Gothic Book" w:hAnsi="Franklin Gothic Book"/>
          <w:sz w:val="21"/>
          <w:szCs w:val="21"/>
        </w:rPr>
        <w:t>Developers in Colorado work with partner organizations (such as public entities, community action agencies, or other nonprofit organizations) to identify low-income households. Developers al</w:t>
      </w:r>
      <w:r w:rsidRPr="00E84BEE">
        <w:rPr>
          <w:rFonts w:ascii="Franklin Gothic Book" w:hAnsi="Franklin Gothic Book"/>
          <w:sz w:val="21"/>
          <w:szCs w:val="21"/>
        </w:rPr>
        <w:t>so work to educate partner organizations and potential subscribers on the community solar program.</w:t>
      </w:r>
      <w:r>
        <w:rPr>
          <w:rFonts w:ascii="Franklin Gothic Book" w:hAnsi="Franklin Gothic Book"/>
          <w:sz w:val="21"/>
          <w:szCs w:val="21"/>
        </w:rPr>
        <w:t xml:space="preserve"> We recommend that the Commission direct Xcel to coordinate with developers and other organizations to </w:t>
      </w:r>
      <w:r>
        <w:rPr>
          <w:rFonts w:ascii="Franklin Gothic Book" w:hAnsi="Franklin Gothic Book"/>
          <w:sz w:val="21"/>
          <w:szCs w:val="21"/>
        </w:rPr>
        <w:lastRenderedPageBreak/>
        <w:t>identify low-income households and develop marketing and education materials available in multiple languages.</w:t>
      </w:r>
    </w:p>
    <w:p w:rsidR="007A49CC" w:rsidRPr="0048100A" w:rsidRDefault="007A49CC" w:rsidP="007A49CC">
      <w:pPr>
        <w:spacing w:line="360" w:lineRule="auto"/>
        <w:rPr>
          <w:rFonts w:ascii="Franklin Gothic Book" w:hAnsi="Franklin Gothic Book"/>
          <w:sz w:val="21"/>
          <w:szCs w:val="21"/>
        </w:rPr>
      </w:pPr>
    </w:p>
    <w:p w:rsidR="007A49CC" w:rsidRPr="00E84BEE"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 xml:space="preserve">Second, the Commission should allow a customer’s participation in an existing means-based program such as the Energy Assistance Program (EAP) to qualify that customer as “low-income” for the S*RC program. The Minnesota Department of Commerce administers the EAP within the state, which includes the Weatherization program and home energy cost assistance, and could leverage its current programs and partnerships with community action agencies and service providers to identify low-income CSG subscribers. </w:t>
      </w:r>
      <w:r w:rsidRPr="00F1766F">
        <w:rPr>
          <w:rFonts w:ascii="Franklin Gothic Book" w:hAnsi="Franklin Gothic Book"/>
          <w:sz w:val="21"/>
          <w:szCs w:val="21"/>
        </w:rPr>
        <w:t>There are many organizations that are not classified as community action agencies, but provide energy assistance programs and weatherization services. These service providers work across the state, including Minnesota’s tribal territories. The Department of Commerce maintains a list of EAP and weatherization service providers.</w:t>
      </w:r>
      <w:r w:rsidRPr="00F1766F">
        <w:rPr>
          <w:rStyle w:val="FootnoteReference"/>
          <w:rFonts w:ascii="Franklin Gothic Book" w:hAnsi="Franklin Gothic Book"/>
          <w:sz w:val="21"/>
          <w:szCs w:val="21"/>
        </w:rPr>
        <w:t xml:space="preserve"> </w:t>
      </w:r>
      <w:r w:rsidRPr="00F1766F">
        <w:rPr>
          <w:rStyle w:val="FootnoteReference"/>
          <w:rFonts w:ascii="Franklin Gothic Book" w:hAnsi="Franklin Gothic Book"/>
          <w:sz w:val="21"/>
          <w:szCs w:val="21"/>
        </w:rPr>
        <w:footnoteReference w:id="19"/>
      </w:r>
    </w:p>
    <w:p w:rsidR="007A49CC" w:rsidRPr="00BD3BE7" w:rsidRDefault="007A49CC" w:rsidP="007A49CC">
      <w:pPr>
        <w:spacing w:line="360" w:lineRule="auto"/>
        <w:rPr>
          <w:rFonts w:ascii="Franklin Gothic Book" w:hAnsi="Franklin Gothic Book"/>
          <w:sz w:val="21"/>
          <w:szCs w:val="21"/>
        </w:rPr>
      </w:pPr>
    </w:p>
    <w:p w:rsidR="007A49CC" w:rsidRPr="00BD3BE7" w:rsidRDefault="007A49CC" w:rsidP="007A49CC">
      <w:pPr>
        <w:pStyle w:val="ListParagraph"/>
        <w:numPr>
          <w:ilvl w:val="1"/>
          <w:numId w:val="1"/>
        </w:numPr>
        <w:spacing w:line="360" w:lineRule="auto"/>
        <w:rPr>
          <w:rFonts w:ascii="Franklin Gothic Book" w:hAnsi="Franklin Gothic Book"/>
          <w:b/>
          <w:sz w:val="21"/>
          <w:szCs w:val="21"/>
        </w:rPr>
      </w:pPr>
      <w:r w:rsidRPr="00BD3BE7">
        <w:rPr>
          <w:rFonts w:ascii="Franklin Gothic Book" w:hAnsi="Franklin Gothic Book"/>
          <w:b/>
          <w:sz w:val="21"/>
          <w:szCs w:val="21"/>
        </w:rPr>
        <w:t>Target participation level</w:t>
      </w:r>
    </w:p>
    <w:p w:rsidR="007A49CC" w:rsidRPr="00493D91" w:rsidRDefault="007A49CC" w:rsidP="007A49CC">
      <w:pPr>
        <w:spacing w:line="360" w:lineRule="auto"/>
        <w:rPr>
          <w:rFonts w:ascii="Franklin Gothic Book" w:hAnsi="Franklin Gothic Book"/>
          <w:b/>
          <w:sz w:val="21"/>
          <w:szCs w:val="21"/>
        </w:rPr>
      </w:pPr>
      <w:r>
        <w:rPr>
          <w:rFonts w:ascii="Franklin Gothic Book" w:hAnsi="Franklin Gothic Book"/>
          <w:sz w:val="21"/>
          <w:szCs w:val="21"/>
        </w:rPr>
        <w:t xml:space="preserve">There are a couple of examples of low-income participation goals from other community solar or shared renewables programs across the country. Although Colorado’s 5 percent low-income carve-out has resulted in </w:t>
      </w:r>
      <w:r>
        <w:rPr>
          <w:rFonts w:ascii="Franklin Gothic Book" w:hAnsi="Franklin Gothic Book"/>
          <w:i/>
          <w:sz w:val="21"/>
          <w:szCs w:val="21"/>
        </w:rPr>
        <w:t>some</w:t>
      </w:r>
      <w:r>
        <w:rPr>
          <w:rFonts w:ascii="Franklin Gothic Book" w:hAnsi="Franklin Gothic Book"/>
          <w:sz w:val="21"/>
          <w:szCs w:val="21"/>
        </w:rPr>
        <w:t xml:space="preserve"> low-income participation in CSG projects, it is considered by many to be too low to truly encourage such participation.</w:t>
      </w:r>
      <w:r>
        <w:rPr>
          <w:rStyle w:val="FootnoteReference"/>
          <w:rFonts w:ascii="Franklin Gothic Book" w:hAnsi="Franklin Gothic Book"/>
          <w:sz w:val="21"/>
          <w:szCs w:val="21"/>
        </w:rPr>
        <w:footnoteReference w:id="20"/>
      </w:r>
      <w:r>
        <w:rPr>
          <w:rFonts w:ascii="Franklin Gothic Book" w:hAnsi="Franklin Gothic Book"/>
          <w:sz w:val="21"/>
          <w:szCs w:val="21"/>
        </w:rPr>
        <w:t xml:space="preserve"> On the other hand, New York’s shared renewables program, which has different program requirements and designs than other community solar programs, allows projects that include at least 20 percent subscriptions by customers in utility low-income programs to interconnect in Phase 1 of the program.</w:t>
      </w:r>
      <w:r>
        <w:rPr>
          <w:rStyle w:val="FootnoteReference"/>
          <w:rFonts w:ascii="Franklin Gothic Book" w:hAnsi="Franklin Gothic Book"/>
          <w:sz w:val="21"/>
          <w:szCs w:val="21"/>
        </w:rPr>
        <w:footnoteReference w:id="21"/>
      </w:r>
    </w:p>
    <w:p w:rsidR="007A49CC" w:rsidRPr="0048100A" w:rsidRDefault="007A49CC" w:rsidP="007A49CC">
      <w:pPr>
        <w:spacing w:line="360" w:lineRule="auto"/>
        <w:rPr>
          <w:rFonts w:ascii="Franklin Gothic Book" w:hAnsi="Franklin Gothic Book"/>
          <w:sz w:val="21"/>
          <w:szCs w:val="21"/>
        </w:rPr>
      </w:pPr>
      <w:r>
        <w:rPr>
          <w:rFonts w:ascii="Franklin Gothic Book" w:hAnsi="Franklin Gothic Book"/>
          <w:sz w:val="21"/>
          <w:szCs w:val="21"/>
        </w:rPr>
        <w:t>In considering the Minnesota community solar program, other states’ programs, and additional research, w</w:t>
      </w:r>
      <w:r w:rsidRPr="00C84CED">
        <w:rPr>
          <w:rFonts w:ascii="Franklin Gothic Book" w:hAnsi="Franklin Gothic Book"/>
          <w:sz w:val="21"/>
          <w:szCs w:val="21"/>
        </w:rPr>
        <w:t>e recommend that the Commission establish a low-income participation target of 10 percent of total energy produced by a CSG project.</w:t>
      </w:r>
      <w:r w:rsidRPr="0048100A">
        <w:rPr>
          <w:rFonts w:ascii="Franklin Gothic Book" w:hAnsi="Franklin Gothic Book"/>
          <w:sz w:val="21"/>
          <w:szCs w:val="21"/>
        </w:rPr>
        <w:t xml:space="preserve"> This target participation level would be a reasonable initial target, as it is </w:t>
      </w:r>
      <w:r>
        <w:rPr>
          <w:rFonts w:ascii="Franklin Gothic Book" w:hAnsi="Franklin Gothic Book"/>
          <w:sz w:val="21"/>
          <w:szCs w:val="21"/>
        </w:rPr>
        <w:t xml:space="preserve">double </w:t>
      </w:r>
      <w:r w:rsidRPr="0048100A">
        <w:rPr>
          <w:rFonts w:ascii="Franklin Gothic Book" w:hAnsi="Franklin Gothic Book"/>
          <w:sz w:val="21"/>
          <w:szCs w:val="21"/>
        </w:rPr>
        <w:t>the low percentage of participation seen in Colorado, and could be increased as the program continues.  To assist projects to reach this ambitious target, projects that submit plans to meet or exceed 10 percent low-income participation should be:</w:t>
      </w:r>
    </w:p>
    <w:p w:rsidR="007A49CC" w:rsidRPr="00F1766F" w:rsidRDefault="007A49CC" w:rsidP="007A49CC">
      <w:pPr>
        <w:pStyle w:val="ListParagraph"/>
        <w:numPr>
          <w:ilvl w:val="0"/>
          <w:numId w:val="3"/>
        </w:numPr>
        <w:spacing w:line="360" w:lineRule="auto"/>
        <w:rPr>
          <w:rFonts w:ascii="Franklin Gothic Book" w:hAnsi="Franklin Gothic Book"/>
          <w:sz w:val="21"/>
          <w:szCs w:val="21"/>
        </w:rPr>
      </w:pPr>
      <w:r w:rsidRPr="00F1766F">
        <w:rPr>
          <w:rFonts w:ascii="Franklin Gothic Book" w:hAnsi="Franklin Gothic Book"/>
          <w:sz w:val="21"/>
          <w:szCs w:val="21"/>
        </w:rPr>
        <w:t>exempt from the $100 per kW application deposit requirement,</w:t>
      </w:r>
    </w:p>
    <w:p w:rsidR="007A49CC" w:rsidRPr="00F1766F" w:rsidRDefault="007A49CC" w:rsidP="007A49CC">
      <w:pPr>
        <w:pStyle w:val="ListParagraph"/>
        <w:numPr>
          <w:ilvl w:val="0"/>
          <w:numId w:val="3"/>
        </w:numPr>
        <w:spacing w:line="360" w:lineRule="auto"/>
        <w:rPr>
          <w:rFonts w:ascii="Franklin Gothic Book" w:hAnsi="Franklin Gothic Book"/>
          <w:sz w:val="21"/>
          <w:szCs w:val="21"/>
        </w:rPr>
      </w:pPr>
      <w:r w:rsidRPr="00F1766F">
        <w:rPr>
          <w:rFonts w:ascii="Franklin Gothic Book" w:hAnsi="Franklin Gothic Book"/>
          <w:sz w:val="21"/>
          <w:szCs w:val="21"/>
        </w:rPr>
        <w:t>exempt from any engineering study fees in the utility interconnection process, and</w:t>
      </w:r>
    </w:p>
    <w:p w:rsidR="007A49CC" w:rsidRPr="00F1766F" w:rsidRDefault="007A49CC" w:rsidP="007A49CC">
      <w:pPr>
        <w:pStyle w:val="ListParagraph"/>
        <w:numPr>
          <w:ilvl w:val="0"/>
          <w:numId w:val="3"/>
        </w:numPr>
        <w:spacing w:line="360" w:lineRule="auto"/>
        <w:rPr>
          <w:rFonts w:ascii="Franklin Gothic Book" w:hAnsi="Franklin Gothic Book"/>
          <w:sz w:val="21"/>
          <w:szCs w:val="21"/>
        </w:rPr>
      </w:pPr>
      <w:proofErr w:type="gramStart"/>
      <w:r w:rsidRPr="00F1766F">
        <w:rPr>
          <w:rFonts w:ascii="Franklin Gothic Book" w:hAnsi="Franklin Gothic Book"/>
          <w:sz w:val="21"/>
          <w:szCs w:val="21"/>
        </w:rPr>
        <w:lastRenderedPageBreak/>
        <w:t>allowed</w:t>
      </w:r>
      <w:proofErr w:type="gramEnd"/>
      <w:r w:rsidRPr="00F1766F">
        <w:rPr>
          <w:rFonts w:ascii="Franklin Gothic Book" w:hAnsi="Franklin Gothic Book"/>
          <w:sz w:val="21"/>
          <w:szCs w:val="21"/>
        </w:rPr>
        <w:t xml:space="preserve"> to expand the use of the “back up subscriber” model (described below) beyond the 40 percent subscription cap on a single large subscriber for a limited period of 90 days.</w:t>
      </w:r>
    </w:p>
    <w:p w:rsidR="007A49CC" w:rsidRPr="00E84BEE"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sidRPr="00E84BEE">
        <w:rPr>
          <w:rFonts w:ascii="Franklin Gothic Book" w:hAnsi="Franklin Gothic Book"/>
          <w:sz w:val="21"/>
          <w:szCs w:val="21"/>
        </w:rPr>
        <w:t>This recommendation achieves two objectives.  First, it would eliminate the “ceiling” presented by the Colorado low-income carve-out mandate, instead providing developers with an incentive to serve more low-income customers than a hard requirement that would act as a ceiling instead of a floor</w:t>
      </w:r>
      <w:r w:rsidRPr="00713795">
        <w:rPr>
          <w:rFonts w:ascii="Franklin Gothic Book" w:hAnsi="Franklin Gothic Book"/>
          <w:sz w:val="21"/>
          <w:szCs w:val="21"/>
        </w:rPr>
        <w:t>, at double the low-income participation level currently seen in Colorado</w:t>
      </w:r>
      <w:r w:rsidRPr="008E041E">
        <w:rPr>
          <w:rFonts w:ascii="Franklin Gothic Book" w:hAnsi="Franklin Gothic Book"/>
          <w:sz w:val="21"/>
          <w:szCs w:val="21"/>
        </w:rPr>
        <w:t>.</w:t>
      </w:r>
      <w:r>
        <w:rPr>
          <w:rFonts w:ascii="Franklin Gothic Book" w:hAnsi="Franklin Gothic Book"/>
          <w:sz w:val="21"/>
          <w:szCs w:val="21"/>
        </w:rPr>
        <w:t xml:space="preserve"> Developers would be incentivized to reach at least 10 percent low-income participation, rather than strictly serving a base requirement while being discouraged by third-party financers to develop further.</w:t>
      </w:r>
      <w:r w:rsidRPr="0048100A">
        <w:rPr>
          <w:rFonts w:ascii="Franklin Gothic Book" w:hAnsi="Franklin Gothic Book"/>
          <w:sz w:val="21"/>
          <w:szCs w:val="21"/>
        </w:rPr>
        <w:t xml:space="preserve"> Second, the recommendations provide assurances for financers to back these projects</w:t>
      </w:r>
      <w:r>
        <w:rPr>
          <w:rFonts w:ascii="Franklin Gothic Book" w:hAnsi="Franklin Gothic Book"/>
          <w:sz w:val="21"/>
          <w:szCs w:val="21"/>
        </w:rPr>
        <w:t xml:space="preserve"> by reducing upfront costs and leveraging an institutional subscriber’s financial standing to alleviate the perception of risk</w:t>
      </w:r>
      <w:r w:rsidRPr="0048100A">
        <w:rPr>
          <w:rFonts w:ascii="Franklin Gothic Book" w:hAnsi="Franklin Gothic Book"/>
          <w:sz w:val="21"/>
          <w:szCs w:val="21"/>
        </w:rPr>
        <w:t>.</w:t>
      </w:r>
    </w:p>
    <w:p w:rsidR="007A49CC" w:rsidRPr="0048100A" w:rsidRDefault="007A49CC" w:rsidP="007A49CC">
      <w:pPr>
        <w:spacing w:line="360" w:lineRule="auto"/>
        <w:rPr>
          <w:rFonts w:ascii="Franklin Gothic Book" w:hAnsi="Franklin Gothic Book"/>
          <w:sz w:val="21"/>
          <w:szCs w:val="21"/>
        </w:rPr>
      </w:pPr>
    </w:p>
    <w:p w:rsidR="007A49CC"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To be eligible for the above-listed incentives for a particular project, the developer would be required to verify a low-income subscriber’s eligibility using the process described above and maintain at least 10 percent low-income participation</w:t>
      </w:r>
      <w:r>
        <w:rPr>
          <w:rFonts w:ascii="Franklin Gothic Book" w:hAnsi="Franklin Gothic Book"/>
          <w:sz w:val="21"/>
          <w:szCs w:val="21"/>
        </w:rPr>
        <w:t xml:space="preserve"> throughout the life of the garden</w:t>
      </w:r>
      <w:r w:rsidRPr="00F1766F">
        <w:rPr>
          <w:rFonts w:ascii="Franklin Gothic Book" w:hAnsi="Franklin Gothic Book"/>
          <w:sz w:val="21"/>
          <w:szCs w:val="21"/>
        </w:rPr>
        <w:t xml:space="preserve">. </w:t>
      </w:r>
    </w:p>
    <w:p w:rsidR="007A49CC" w:rsidRDefault="007A49CC" w:rsidP="007A49CC">
      <w:pPr>
        <w:spacing w:line="360" w:lineRule="auto"/>
        <w:rPr>
          <w:rFonts w:ascii="Franklin Gothic Book" w:hAnsi="Franklin Gothic Book"/>
          <w:sz w:val="21"/>
          <w:szCs w:val="21"/>
        </w:rPr>
      </w:pPr>
    </w:p>
    <w:p w:rsidR="007A49CC" w:rsidRDefault="007A49CC" w:rsidP="007A49CC">
      <w:pPr>
        <w:spacing w:line="360" w:lineRule="auto"/>
        <w:rPr>
          <w:rFonts w:ascii="Franklin Gothic Book" w:hAnsi="Franklin Gothic Book"/>
          <w:sz w:val="21"/>
          <w:szCs w:val="21"/>
        </w:rPr>
      </w:pPr>
      <w:r w:rsidRPr="00C84CED">
        <w:rPr>
          <w:rFonts w:ascii="Franklin Gothic Book" w:hAnsi="Franklin Gothic Book"/>
          <w:sz w:val="21"/>
          <w:szCs w:val="21"/>
        </w:rPr>
        <w:t>In order to ensure ongoing compliance, we recommend that in the event that a CSG using the low-income program incentives falls below 10 percent low-income participation for a 90-day period,</w:t>
      </w:r>
      <w:r>
        <w:rPr>
          <w:rFonts w:ascii="Franklin Gothic Book" w:hAnsi="Franklin Gothic Book"/>
          <w:sz w:val="21"/>
          <w:szCs w:val="21"/>
        </w:rPr>
        <w:t xml:space="preserve"> the Commission could consider a number of compliance tools: </w:t>
      </w:r>
    </w:p>
    <w:p w:rsidR="007A49CC" w:rsidRPr="00493D91" w:rsidRDefault="007A49CC" w:rsidP="007A49CC">
      <w:pPr>
        <w:pStyle w:val="ListParagraph"/>
        <w:numPr>
          <w:ilvl w:val="2"/>
          <w:numId w:val="6"/>
        </w:numPr>
        <w:spacing w:line="360" w:lineRule="auto"/>
        <w:rPr>
          <w:rFonts w:ascii="Franklin Gothic Book" w:hAnsi="Franklin Gothic Book"/>
          <w:sz w:val="21"/>
          <w:szCs w:val="21"/>
        </w:rPr>
      </w:pPr>
      <w:r w:rsidRPr="00493D91">
        <w:rPr>
          <w:rFonts w:ascii="Franklin Gothic Book" w:hAnsi="Franklin Gothic Book"/>
          <w:sz w:val="21"/>
          <w:szCs w:val="21"/>
        </w:rPr>
        <w:t>gardens out of compliance beyond 90 days could be required to pay back a portion of the waived engineering fees,</w:t>
      </w:r>
    </w:p>
    <w:p w:rsidR="007A49CC" w:rsidRPr="00493D91" w:rsidRDefault="007A49CC" w:rsidP="007A49CC">
      <w:pPr>
        <w:pStyle w:val="ListParagraph"/>
        <w:numPr>
          <w:ilvl w:val="2"/>
          <w:numId w:val="6"/>
        </w:numPr>
        <w:spacing w:line="360" w:lineRule="auto"/>
        <w:rPr>
          <w:rFonts w:ascii="Franklin Gothic Book" w:hAnsi="Franklin Gothic Book"/>
          <w:sz w:val="21"/>
          <w:szCs w:val="21"/>
        </w:rPr>
      </w:pPr>
      <w:proofErr w:type="gramStart"/>
      <w:r w:rsidRPr="00493D91">
        <w:rPr>
          <w:rFonts w:ascii="Franklin Gothic Book" w:hAnsi="Franklin Gothic Book"/>
          <w:sz w:val="21"/>
          <w:szCs w:val="21"/>
        </w:rPr>
        <w:t>the</w:t>
      </w:r>
      <w:proofErr w:type="gramEnd"/>
      <w:r w:rsidRPr="00493D91">
        <w:rPr>
          <w:rFonts w:ascii="Franklin Gothic Book" w:hAnsi="Franklin Gothic Book"/>
          <w:sz w:val="21"/>
          <w:szCs w:val="21"/>
        </w:rPr>
        <w:t xml:space="preserve"> portion of the garden below the 10 percent target level</w:t>
      </w:r>
      <w:r>
        <w:rPr>
          <w:rFonts w:ascii="Franklin Gothic Book" w:hAnsi="Franklin Gothic Book"/>
          <w:sz w:val="21"/>
          <w:szCs w:val="21"/>
        </w:rPr>
        <w:t xml:space="preserve"> could be credited at</w:t>
      </w:r>
      <w:r w:rsidRPr="00493D91">
        <w:rPr>
          <w:rFonts w:ascii="Franklin Gothic Book" w:hAnsi="Franklin Gothic Book"/>
          <w:sz w:val="21"/>
          <w:szCs w:val="21"/>
        </w:rPr>
        <w:t xml:space="preserve"> the unsubscribed energy rate until the low-income subscription level increases back to 10 percent.</w:t>
      </w:r>
      <w:r>
        <w:rPr>
          <w:rFonts w:ascii="Franklin Gothic Book" w:hAnsi="Franklin Gothic Book"/>
          <w:sz w:val="21"/>
          <w:szCs w:val="21"/>
        </w:rPr>
        <w:t xml:space="preserve"> For example, a garden receiving the low-income program incentives that has fallen to 7 percent of low-income subscriptions for over 90 days would have 3 percent of the garden’s energy credited at the unsubscribed energy rate. Once the garden’s low-income subscription total increases back to at least 10 percent, the garden would again be credited at the subscriber’s bill credit rate.</w:t>
      </w:r>
      <w:r w:rsidRPr="00493D91">
        <w:rPr>
          <w:rFonts w:ascii="Franklin Gothic Book" w:hAnsi="Franklin Gothic Book"/>
          <w:sz w:val="21"/>
          <w:szCs w:val="21"/>
        </w:rPr>
        <w:t xml:space="preserve"> As with any other subscription change that may trigger an unsubscribed energy payment, developers should clearly state how a subscriber’s agreement with the developer would be impacted in the event the CSG fell below 10 percent participation for over 90 days.  The need for clear contract terms in this situation is the same as other changes to the garden or subscription (e.g. moving out of the service territory, violating the 120 percent subscription limit, etc.).</w:t>
      </w:r>
    </w:p>
    <w:p w:rsidR="007A49CC" w:rsidRPr="0048100A" w:rsidRDefault="007A49CC" w:rsidP="007A49CC">
      <w:pPr>
        <w:spacing w:line="360" w:lineRule="auto"/>
        <w:rPr>
          <w:rFonts w:ascii="Franklin Gothic Book" w:hAnsi="Franklin Gothic Book"/>
          <w:sz w:val="21"/>
          <w:szCs w:val="21"/>
        </w:rPr>
      </w:pPr>
    </w:p>
    <w:p w:rsidR="007A49CC" w:rsidRPr="00FA27E4" w:rsidRDefault="007A49CC" w:rsidP="007A49CC">
      <w:pPr>
        <w:spacing w:line="360" w:lineRule="auto"/>
        <w:ind w:firstLine="720"/>
        <w:rPr>
          <w:rFonts w:ascii="Franklin Gothic Book" w:hAnsi="Franklin Gothic Book"/>
          <w:i/>
          <w:sz w:val="21"/>
          <w:szCs w:val="21"/>
        </w:rPr>
      </w:pPr>
      <w:r>
        <w:rPr>
          <w:rFonts w:ascii="Franklin Gothic Book" w:hAnsi="Franklin Gothic Book"/>
          <w:i/>
          <w:sz w:val="21"/>
          <w:szCs w:val="21"/>
        </w:rPr>
        <w:lastRenderedPageBreak/>
        <w:t xml:space="preserve">1) </w:t>
      </w:r>
      <w:r w:rsidRPr="00FA27E4">
        <w:rPr>
          <w:rFonts w:ascii="Franklin Gothic Book" w:hAnsi="Franklin Gothic Book"/>
          <w:i/>
          <w:sz w:val="21"/>
          <w:szCs w:val="21"/>
        </w:rPr>
        <w:t>Fee waiver recommendation</w:t>
      </w:r>
    </w:p>
    <w:p w:rsidR="007A49CC" w:rsidRDefault="007A49CC" w:rsidP="007A49CC">
      <w:pPr>
        <w:spacing w:line="360" w:lineRule="auto"/>
        <w:ind w:left="90"/>
        <w:rPr>
          <w:rFonts w:ascii="Franklin Gothic Book" w:hAnsi="Franklin Gothic Book"/>
          <w:sz w:val="21"/>
          <w:szCs w:val="21"/>
        </w:rPr>
      </w:pPr>
      <w:r w:rsidRPr="0048100A">
        <w:rPr>
          <w:rFonts w:ascii="Franklin Gothic Book" w:hAnsi="Franklin Gothic Book"/>
          <w:sz w:val="21"/>
          <w:szCs w:val="21"/>
        </w:rPr>
        <w:t>In our conversations with developers, particularly those that have a focus on residential, multi-family, and low-income customer segments, the deposit and interconnection study fees have ari</w:t>
      </w:r>
      <w:r w:rsidRPr="00F1766F">
        <w:rPr>
          <w:rFonts w:ascii="Franklin Gothic Book" w:hAnsi="Franklin Gothic Book"/>
          <w:sz w:val="21"/>
          <w:szCs w:val="21"/>
        </w:rPr>
        <w:t>sen as a barrier to move these CSG projects forward.  Many developers require third-party financing to cover these costs, and as discussed above, financiers view these customer classes are more risky than other potential subscribers like institutional subscribers.</w:t>
      </w:r>
      <w:r>
        <w:rPr>
          <w:rFonts w:ascii="Franklin Gothic Book" w:hAnsi="Franklin Gothic Book"/>
          <w:sz w:val="21"/>
          <w:szCs w:val="21"/>
        </w:rPr>
        <w:t xml:space="preserve"> These upfront fees make getting low-income targeted projects that much harder to launch.</w:t>
      </w:r>
      <w:r w:rsidRPr="00F1766F">
        <w:rPr>
          <w:rFonts w:ascii="Franklin Gothic Book" w:hAnsi="Franklin Gothic Book"/>
          <w:sz w:val="21"/>
          <w:szCs w:val="21"/>
        </w:rPr>
        <w:t xml:space="preserve"> Waiving or reducing these upfront fees will</w:t>
      </w:r>
      <w:r w:rsidRPr="00E84BEE">
        <w:rPr>
          <w:rFonts w:ascii="Franklin Gothic Book" w:hAnsi="Franklin Gothic Book"/>
          <w:sz w:val="21"/>
          <w:szCs w:val="21"/>
        </w:rPr>
        <w:t xml:space="preserve"> eliminate significant financial barriers, thereby helping low-income-focused projects to move forward in the interconnection process and have more information on the likelihood of project completion to then seek financing for the garden’s construction</w:t>
      </w:r>
      <w:r w:rsidRPr="00BD3BE7">
        <w:rPr>
          <w:rFonts w:ascii="Franklin Gothic Book" w:hAnsi="Franklin Gothic Book"/>
          <w:sz w:val="21"/>
          <w:szCs w:val="21"/>
        </w:rPr>
        <w:t>.</w:t>
      </w:r>
    </w:p>
    <w:p w:rsidR="007A49CC" w:rsidRDefault="007A49CC" w:rsidP="007A49CC">
      <w:pPr>
        <w:spacing w:line="360" w:lineRule="auto"/>
        <w:ind w:left="90"/>
        <w:rPr>
          <w:rFonts w:ascii="Franklin Gothic Book" w:hAnsi="Franklin Gothic Book"/>
          <w:sz w:val="21"/>
          <w:szCs w:val="21"/>
        </w:rPr>
      </w:pPr>
    </w:p>
    <w:p w:rsidR="007A49CC" w:rsidRPr="00BD3BE7" w:rsidRDefault="007A49CC" w:rsidP="007A49CC">
      <w:pPr>
        <w:spacing w:line="360" w:lineRule="auto"/>
        <w:ind w:left="90"/>
        <w:rPr>
          <w:rFonts w:ascii="Franklin Gothic Book" w:hAnsi="Franklin Gothic Book"/>
          <w:sz w:val="21"/>
          <w:szCs w:val="21"/>
        </w:rPr>
      </w:pPr>
      <w:r>
        <w:rPr>
          <w:rFonts w:ascii="Franklin Gothic Book" w:hAnsi="Franklin Gothic Book"/>
          <w:sz w:val="21"/>
          <w:szCs w:val="21"/>
        </w:rPr>
        <w:t>While we see little downside with eliminating the refundable deposit requirement, we understand that eliminating the engineering study fees may be problematic for some parties. We understand that Xcel is charging developers approximately $22,000 for engineering study of 1 MW projects; we assume this fee is lower for smaller projects. As a key party to increasing low-income CSG access, our recommendation asks Xcel (and its ratepayers) to absorb these costs in order to expand access to low-income customers. We are not recommending that gardens applying under these recommendations be exempt from any interconnection upgrade costs required as a condition to interconnect.</w:t>
      </w:r>
    </w:p>
    <w:p w:rsidR="007A49CC" w:rsidRDefault="007A49CC" w:rsidP="007A49CC">
      <w:pPr>
        <w:spacing w:line="360" w:lineRule="auto"/>
        <w:ind w:left="720"/>
        <w:rPr>
          <w:rFonts w:ascii="Franklin Gothic Book" w:hAnsi="Franklin Gothic Book"/>
          <w:sz w:val="21"/>
          <w:szCs w:val="21"/>
        </w:rPr>
      </w:pPr>
    </w:p>
    <w:p w:rsidR="007A49CC" w:rsidRPr="00BD3BE7" w:rsidRDefault="007A49CC" w:rsidP="007A49CC">
      <w:pPr>
        <w:spacing w:line="360" w:lineRule="auto"/>
        <w:ind w:left="720"/>
        <w:rPr>
          <w:rFonts w:ascii="Franklin Gothic Book" w:hAnsi="Franklin Gothic Book"/>
          <w:sz w:val="21"/>
          <w:szCs w:val="21"/>
        </w:rPr>
      </w:pPr>
    </w:p>
    <w:p w:rsidR="007A49CC" w:rsidRPr="00493D91" w:rsidRDefault="007A49CC" w:rsidP="007A49CC">
      <w:pPr>
        <w:spacing w:line="360" w:lineRule="auto"/>
        <w:ind w:left="90" w:firstLine="630"/>
        <w:rPr>
          <w:rFonts w:ascii="Franklin Gothic Book" w:hAnsi="Franklin Gothic Book"/>
          <w:i/>
          <w:sz w:val="21"/>
          <w:szCs w:val="21"/>
        </w:rPr>
      </w:pPr>
      <w:r>
        <w:rPr>
          <w:rFonts w:ascii="Franklin Gothic Book" w:hAnsi="Franklin Gothic Book"/>
          <w:i/>
          <w:sz w:val="21"/>
          <w:szCs w:val="21"/>
        </w:rPr>
        <w:t xml:space="preserve">2) </w:t>
      </w:r>
      <w:r w:rsidRPr="00493D91">
        <w:rPr>
          <w:rFonts w:ascii="Franklin Gothic Book" w:hAnsi="Franklin Gothic Book"/>
          <w:i/>
          <w:sz w:val="21"/>
          <w:szCs w:val="21"/>
        </w:rPr>
        <w:t>“Backup subscriber” model recommendation</w:t>
      </w:r>
    </w:p>
    <w:p w:rsidR="007A49CC" w:rsidRPr="008E041E"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 xml:space="preserve">A CSG project model that leverages the financial stability of a large institutional subscriber has emerged as a potential tool to include low-income households. This model, commonly referred to as the “backup subscriber” model, involves </w:t>
      </w:r>
      <w:r w:rsidRPr="00F1766F">
        <w:rPr>
          <w:rFonts w:ascii="Franklin Gothic Book" w:hAnsi="Franklin Gothic Book"/>
          <w:sz w:val="21"/>
          <w:szCs w:val="21"/>
        </w:rPr>
        <w:t>a CSG project in which the large institutional subscriber subscribes for less than the maximum</w:t>
      </w:r>
      <w:r>
        <w:rPr>
          <w:rFonts w:ascii="Franklin Gothic Book" w:hAnsi="Franklin Gothic Book"/>
          <w:sz w:val="21"/>
          <w:szCs w:val="21"/>
        </w:rPr>
        <w:t xml:space="preserve"> subscription amount they are allowed, using the remainder of their allowed subscription capacity to back other subscribers with credit challenges, such as </w:t>
      </w:r>
      <w:r w:rsidRPr="00F1766F">
        <w:rPr>
          <w:rFonts w:ascii="Franklin Gothic Book" w:hAnsi="Franklin Gothic Book"/>
          <w:sz w:val="21"/>
          <w:szCs w:val="21"/>
        </w:rPr>
        <w:t>residential</w:t>
      </w:r>
      <w:r>
        <w:rPr>
          <w:rFonts w:ascii="Franklin Gothic Book" w:hAnsi="Franklin Gothic Book"/>
          <w:sz w:val="21"/>
          <w:szCs w:val="21"/>
        </w:rPr>
        <w:t xml:space="preserve"> and low-income residential</w:t>
      </w:r>
      <w:r w:rsidRPr="00F1766F">
        <w:rPr>
          <w:rFonts w:ascii="Franklin Gothic Book" w:hAnsi="Franklin Gothic Book"/>
          <w:sz w:val="21"/>
          <w:szCs w:val="21"/>
        </w:rPr>
        <w:t xml:space="preserve"> subscribers. </w:t>
      </w:r>
      <w:r w:rsidRPr="00E84BEE">
        <w:rPr>
          <w:rFonts w:ascii="Franklin Gothic Book" w:hAnsi="Franklin Gothic Book"/>
          <w:sz w:val="21"/>
          <w:szCs w:val="21"/>
        </w:rPr>
        <w:t>If another subscriber is unable to fulfill his or her subscription obligation in a given period, the institutional subscriber then increases its subscription, effectively “backing up” that portion of the garden until the subscriber is able to pay or</w:t>
      </w:r>
      <w:r w:rsidRPr="00713795">
        <w:rPr>
          <w:rFonts w:ascii="Franklin Gothic Book" w:hAnsi="Franklin Gothic Book"/>
          <w:sz w:val="21"/>
          <w:szCs w:val="21"/>
        </w:rPr>
        <w:t xml:space="preserve"> a new subscriber is found. The model can be depicted as follows: </w:t>
      </w:r>
    </w:p>
    <w:p w:rsidR="007A49CC" w:rsidRPr="00BD3BE7" w:rsidRDefault="007A49CC" w:rsidP="007A49CC">
      <w:pPr>
        <w:spacing w:line="360" w:lineRule="auto"/>
        <w:rPr>
          <w:rFonts w:ascii="Franklin Gothic Book" w:hAnsi="Franklin Gothic Book"/>
          <w:sz w:val="21"/>
          <w:szCs w:val="21"/>
        </w:rPr>
      </w:pPr>
    </w:p>
    <w:p w:rsidR="007A49CC" w:rsidRDefault="007A49CC" w:rsidP="00C44CE8">
      <w:pPr>
        <w:spacing w:line="360" w:lineRule="auto"/>
        <w:jc w:val="center"/>
        <w:rPr>
          <w:rFonts w:ascii="Franklin Gothic Book" w:hAnsi="Franklin Gothic Book"/>
          <w:sz w:val="21"/>
          <w:szCs w:val="21"/>
        </w:rPr>
      </w:pPr>
      <w:r w:rsidRPr="00FA27E4">
        <w:rPr>
          <w:rFonts w:ascii="Franklin Gothic Book" w:hAnsi="Franklin Gothic Book"/>
          <w:noProof/>
          <w:sz w:val="21"/>
          <w:szCs w:val="21"/>
        </w:rPr>
        <w:lastRenderedPageBreak/>
        <w:drawing>
          <wp:inline distT="0" distB="0" distL="0" distR="0" wp14:anchorId="0307F966" wp14:editId="63F76DC8">
            <wp:extent cx="2559117" cy="2514600"/>
            <wp:effectExtent l="0" t="0" r="317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D3BE7">
        <w:rPr>
          <w:rFonts w:ascii="Franklin Gothic Book" w:hAnsi="Franklin Gothic Book"/>
          <w:sz w:val="21"/>
          <w:szCs w:val="21"/>
        </w:rPr>
        <w:t xml:space="preserve">           </w:t>
      </w:r>
      <w:r w:rsidRPr="00FA27E4">
        <w:rPr>
          <w:rFonts w:ascii="Franklin Gothic Book" w:hAnsi="Franklin Gothic Book"/>
          <w:noProof/>
          <w:sz w:val="21"/>
          <w:szCs w:val="21"/>
        </w:rPr>
        <w:drawing>
          <wp:inline distT="0" distB="0" distL="0" distR="0" wp14:anchorId="263B868C" wp14:editId="54A58120">
            <wp:extent cx="2520616" cy="2513965"/>
            <wp:effectExtent l="0" t="0" r="19685"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C44CE8" w:rsidRPr="0048100A" w:rsidRDefault="00C44CE8" w:rsidP="007A49CC">
      <w:pPr>
        <w:spacing w:line="360" w:lineRule="auto"/>
        <w:rPr>
          <w:rFonts w:ascii="Franklin Gothic Book" w:hAnsi="Franklin Gothic Book"/>
          <w:sz w:val="21"/>
          <w:szCs w:val="21"/>
        </w:rPr>
      </w:pPr>
    </w:p>
    <w:p w:rsidR="007A49CC" w:rsidRPr="00F1766F"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The “backup subscriber” model is particularly effective to address financers’ concerns regarding mass default. Although we do not anticipate any scenario where numerous low-income subscribers would simultaneously exit a CSG project (due to default or otherwise), financers often assume this scenario in perceiving a CSG project’s risk.  The presence of an institutional subscriber in a CSG project, paired with the ability to ramp up its subscription in the event of subscriber exit or default, could serve to address financers’ conce</w:t>
      </w:r>
      <w:r w:rsidRPr="00F1766F">
        <w:rPr>
          <w:rFonts w:ascii="Franklin Gothic Book" w:hAnsi="Franklin Gothic Book"/>
          <w:sz w:val="21"/>
          <w:szCs w:val="21"/>
        </w:rPr>
        <w:t>rns.</w:t>
      </w:r>
      <w:r w:rsidR="00C44CE8">
        <w:rPr>
          <w:rFonts w:ascii="Franklin Gothic Book" w:hAnsi="Franklin Gothic Book"/>
          <w:sz w:val="21"/>
          <w:szCs w:val="21"/>
        </w:rPr>
        <w:t xml:space="preserve"> An example of an institution interested in serving as a backup subscriber is the State of Minnesota.</w:t>
      </w:r>
      <w:r w:rsidR="00C44CE8">
        <w:rPr>
          <w:rStyle w:val="FootnoteReference"/>
          <w:rFonts w:ascii="Franklin Gothic Book" w:hAnsi="Franklin Gothic Book"/>
          <w:sz w:val="21"/>
          <w:szCs w:val="21"/>
        </w:rPr>
        <w:footnoteReference w:id="22"/>
      </w:r>
      <w:r w:rsidR="00C44CE8">
        <w:rPr>
          <w:rFonts w:ascii="Franklin Gothic Book" w:hAnsi="Franklin Gothic Book"/>
          <w:sz w:val="21"/>
          <w:szCs w:val="21"/>
        </w:rPr>
        <w:t xml:space="preserve">  </w:t>
      </w:r>
    </w:p>
    <w:p w:rsidR="007A49CC" w:rsidRPr="00F1766F" w:rsidRDefault="007A49CC" w:rsidP="007A49CC">
      <w:pPr>
        <w:spacing w:line="360" w:lineRule="auto"/>
        <w:rPr>
          <w:rFonts w:ascii="Franklin Gothic Book" w:hAnsi="Franklin Gothic Book"/>
          <w:sz w:val="21"/>
          <w:szCs w:val="21"/>
        </w:rPr>
      </w:pPr>
    </w:p>
    <w:p w:rsidR="007A49CC" w:rsidRDefault="007A49CC" w:rsidP="007A49CC">
      <w:pPr>
        <w:spacing w:line="360" w:lineRule="auto"/>
        <w:rPr>
          <w:rFonts w:ascii="Franklin Gothic Book" w:hAnsi="Franklin Gothic Book"/>
          <w:sz w:val="21"/>
          <w:szCs w:val="21"/>
        </w:rPr>
      </w:pPr>
      <w:r>
        <w:rPr>
          <w:rFonts w:ascii="Franklin Gothic Book" w:hAnsi="Franklin Gothic Book"/>
          <w:sz w:val="21"/>
          <w:szCs w:val="21"/>
        </w:rPr>
        <w:t>Under the current program rules, there is little incentive for institutional organizations to serve as backup subscribers. That is because of the current implementation of the 40 percent limit on a single subscriber. Institutional subscribers would have to reduce their subscriptions to back up other subscribers in a way that will meet the credit expectations of garden financers. Though the odds of a large number of low-income customers leaving the garden at the same time are low, we understand that financers evaluate gardens making some of these assumptions. To address this financer need and to</w:t>
      </w:r>
      <w:r w:rsidRPr="00E84BEE">
        <w:rPr>
          <w:rFonts w:ascii="Franklin Gothic Book" w:hAnsi="Franklin Gothic Book"/>
          <w:sz w:val="21"/>
          <w:szCs w:val="21"/>
        </w:rPr>
        <w:t xml:space="preserve"> encourage widespread adoption of the “backup subscriber” model, we recommend that the Commission allow institutional subscribers engaging in such CSG projects to exceed the 40 percent subscription limit, up to 60 percent of the CSG capacity, for up to 90 days or until the garden again reaches at least 10 percent low-income subscriptions by energy production.</w:t>
      </w:r>
    </w:p>
    <w:p w:rsidR="007A49CC" w:rsidRDefault="007A49CC" w:rsidP="007A49CC">
      <w:pPr>
        <w:spacing w:line="360" w:lineRule="auto"/>
        <w:jc w:val="center"/>
        <w:rPr>
          <w:rFonts w:ascii="Franklin Gothic Book" w:hAnsi="Franklin Gothic Book"/>
          <w:sz w:val="21"/>
          <w:szCs w:val="21"/>
        </w:rPr>
      </w:pPr>
      <w:r w:rsidRPr="00FA27E4">
        <w:rPr>
          <w:rFonts w:ascii="Franklin Gothic Book" w:hAnsi="Franklin Gothic Book"/>
          <w:noProof/>
          <w:sz w:val="21"/>
          <w:szCs w:val="21"/>
        </w:rPr>
        <w:lastRenderedPageBreak/>
        <w:drawing>
          <wp:inline distT="0" distB="0" distL="0" distR="0" wp14:anchorId="4BC0A8D5" wp14:editId="3919BDEF">
            <wp:extent cx="3021496" cy="2719346"/>
            <wp:effectExtent l="0" t="0" r="2667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49CC" w:rsidRDefault="007A49CC" w:rsidP="007A49CC">
      <w:pPr>
        <w:spacing w:line="360" w:lineRule="auto"/>
        <w:rPr>
          <w:rFonts w:ascii="Franklin Gothic Book" w:hAnsi="Franklin Gothic Book"/>
          <w:sz w:val="21"/>
          <w:szCs w:val="21"/>
        </w:rPr>
      </w:pPr>
    </w:p>
    <w:p w:rsidR="007A49CC" w:rsidRDefault="007A49CC" w:rsidP="007A49CC">
      <w:pPr>
        <w:spacing w:line="360" w:lineRule="auto"/>
        <w:rPr>
          <w:rFonts w:ascii="Franklin Gothic Book" w:hAnsi="Franklin Gothic Book"/>
          <w:sz w:val="21"/>
          <w:szCs w:val="21"/>
        </w:rPr>
      </w:pPr>
      <w:r>
        <w:rPr>
          <w:rFonts w:ascii="Franklin Gothic Book" w:hAnsi="Franklin Gothic Book"/>
          <w:sz w:val="21"/>
          <w:szCs w:val="21"/>
        </w:rPr>
        <w:t>We believe this recommendation helps the program meet the financing and accessibility requirements of the community solar garden statute. In addition, we recommend that b</w:t>
      </w:r>
      <w:r w:rsidRPr="00C84CED">
        <w:rPr>
          <w:rFonts w:ascii="Franklin Gothic Book" w:hAnsi="Franklin Gothic Book"/>
          <w:sz w:val="21"/>
          <w:szCs w:val="21"/>
        </w:rPr>
        <w:t>ackup subscribers with verified backup subscription contracts should be eligible to receive the low income subscriber’s bill credit rate for the portion of the garden they are backfilling during the 90 day period.</w:t>
      </w:r>
      <w:r>
        <w:rPr>
          <w:rFonts w:ascii="Franklin Gothic Book" w:hAnsi="Franklin Gothic Book"/>
          <w:sz w:val="21"/>
          <w:szCs w:val="21"/>
        </w:rPr>
        <w:t xml:space="preserve"> This will eliminate much of the financing risk of serving low-income customers of gardens using the backup subscriber tool.</w:t>
      </w:r>
    </w:p>
    <w:p w:rsidR="007A49CC" w:rsidRDefault="007A49CC" w:rsidP="007A49CC">
      <w:pPr>
        <w:spacing w:line="360" w:lineRule="auto"/>
        <w:rPr>
          <w:rFonts w:ascii="Franklin Gothic Book" w:hAnsi="Franklin Gothic Book"/>
          <w:sz w:val="21"/>
          <w:szCs w:val="21"/>
        </w:rPr>
      </w:pPr>
    </w:p>
    <w:p w:rsidR="007A49CC" w:rsidRDefault="007A49CC" w:rsidP="007A49CC">
      <w:pPr>
        <w:spacing w:line="360" w:lineRule="auto"/>
        <w:rPr>
          <w:rFonts w:ascii="Franklin Gothic Book" w:hAnsi="Franklin Gothic Book"/>
          <w:sz w:val="21"/>
          <w:szCs w:val="21"/>
        </w:rPr>
      </w:pPr>
      <w:r>
        <w:rPr>
          <w:rFonts w:ascii="Franklin Gothic Book" w:hAnsi="Franklin Gothic Book"/>
          <w:sz w:val="21"/>
          <w:szCs w:val="21"/>
        </w:rPr>
        <w:t>Through conversations with Xcel we understand that currently any change in a customer’s subscription size requires a new Subscriber Agency Agreement to be signed by the customer and submitted to the Company. Requiring a new agreement for each time a backup subscriber’s subscription size may change slightly is an administrative burden that can be alleviated to not dissuade backup subscribers. We recommend that the Company work with solar developers to develop one amended Subscriber Agency Agreement form designed for backup subscribers.</w:t>
      </w:r>
    </w:p>
    <w:p w:rsidR="007A49CC" w:rsidRPr="0048100A" w:rsidRDefault="007A49CC" w:rsidP="007A49CC">
      <w:pPr>
        <w:spacing w:line="360" w:lineRule="auto"/>
        <w:rPr>
          <w:rFonts w:ascii="Franklin Gothic Book" w:hAnsi="Franklin Gothic Book"/>
          <w:sz w:val="21"/>
          <w:szCs w:val="21"/>
        </w:rPr>
      </w:pPr>
    </w:p>
    <w:p w:rsidR="007A49CC" w:rsidRPr="0048100A" w:rsidRDefault="007A49CC" w:rsidP="007A49CC">
      <w:pPr>
        <w:pStyle w:val="ListParagraph"/>
        <w:numPr>
          <w:ilvl w:val="0"/>
          <w:numId w:val="1"/>
        </w:numPr>
        <w:rPr>
          <w:rFonts w:ascii="Franklin Gothic Book" w:hAnsi="Franklin Gothic Book"/>
          <w:b/>
          <w:sz w:val="21"/>
          <w:szCs w:val="21"/>
        </w:rPr>
      </w:pPr>
      <w:r w:rsidRPr="0048100A">
        <w:rPr>
          <w:rFonts w:ascii="Franklin Gothic Book" w:hAnsi="Franklin Gothic Book"/>
          <w:b/>
          <w:sz w:val="21"/>
          <w:szCs w:val="21"/>
        </w:rPr>
        <w:t xml:space="preserve">Promising solutions that deserve further exploration </w:t>
      </w:r>
    </w:p>
    <w:p w:rsidR="007A49CC" w:rsidRPr="0048100A" w:rsidRDefault="007A49CC" w:rsidP="007A49CC">
      <w:pPr>
        <w:spacing w:line="360" w:lineRule="auto"/>
        <w:rPr>
          <w:rFonts w:ascii="Franklin Gothic Book" w:hAnsi="Franklin Gothic Book"/>
          <w:sz w:val="21"/>
          <w:szCs w:val="21"/>
        </w:rPr>
      </w:pPr>
    </w:p>
    <w:p w:rsidR="007A49CC" w:rsidRPr="00493D91" w:rsidRDefault="007A49CC" w:rsidP="007A49CC">
      <w:pPr>
        <w:pStyle w:val="ListParagraph"/>
        <w:numPr>
          <w:ilvl w:val="0"/>
          <w:numId w:val="4"/>
        </w:numPr>
        <w:spacing w:line="360" w:lineRule="auto"/>
        <w:rPr>
          <w:rFonts w:ascii="Franklin Gothic Book" w:hAnsi="Franklin Gothic Book"/>
          <w:sz w:val="21"/>
          <w:szCs w:val="21"/>
        </w:rPr>
      </w:pPr>
      <w:r w:rsidRPr="0048100A">
        <w:rPr>
          <w:rFonts w:ascii="Franklin Gothic Book" w:hAnsi="Franklin Gothic Book"/>
          <w:sz w:val="21"/>
          <w:szCs w:val="21"/>
        </w:rPr>
        <w:t>On-bill repayment</w:t>
      </w:r>
    </w:p>
    <w:p w:rsidR="007A49CC" w:rsidRPr="00C84CED"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In our research in low-income access solutions, solar developers and other organizations have described on-bill repayment as a potential mechanism to increase low-income participation. Developers have explained that on-bill repayment would establish an efficient way for a customer</w:t>
      </w:r>
      <w:r w:rsidRPr="0048100A">
        <w:rPr>
          <w:rFonts w:ascii="Franklin Gothic Book" w:hAnsi="Franklin Gothic Book"/>
          <w:sz w:val="21"/>
          <w:szCs w:val="21"/>
        </w:rPr>
        <w:t xml:space="preserve"> to repay his or her CSG costs on an existing utility bill, and would reduce financers’ perceived risks of customer non-payment. We are aware that on-bill repayment has been successfully implemented in other jurisdictions nationwide, and </w:t>
      </w:r>
      <w:commentRangeStart w:id="1"/>
      <w:r w:rsidRPr="0048100A">
        <w:rPr>
          <w:rFonts w:ascii="Franklin Gothic Book" w:hAnsi="Franklin Gothic Book"/>
          <w:sz w:val="21"/>
          <w:szCs w:val="21"/>
        </w:rPr>
        <w:t>several groups who have signed on to these comments are currently in conversations with Xcel to explore the potential for establishing a program in Minnesota</w:t>
      </w:r>
      <w:commentRangeEnd w:id="1"/>
      <w:r w:rsidRPr="00493D91">
        <w:rPr>
          <w:rStyle w:val="CommentReference"/>
          <w:rFonts w:ascii="Franklin Gothic Book" w:hAnsi="Franklin Gothic Book"/>
          <w:sz w:val="21"/>
          <w:szCs w:val="21"/>
        </w:rPr>
        <w:commentReference w:id="1"/>
      </w:r>
      <w:r w:rsidRPr="00BD3BE7">
        <w:rPr>
          <w:rFonts w:ascii="Franklin Gothic Book" w:hAnsi="Franklin Gothic Book"/>
          <w:sz w:val="21"/>
          <w:szCs w:val="21"/>
        </w:rPr>
        <w:t xml:space="preserve">. </w:t>
      </w:r>
      <w:r w:rsidRPr="00493D91">
        <w:rPr>
          <w:rFonts w:ascii="Franklin Gothic Book" w:hAnsi="Franklin Gothic Book"/>
          <w:sz w:val="21"/>
          <w:szCs w:val="21"/>
        </w:rPr>
        <w:t xml:space="preserve">The Interstate Renewable Energy Council </w:t>
      </w:r>
      <w:r w:rsidRPr="00493D91">
        <w:rPr>
          <w:rFonts w:ascii="Franklin Gothic Book" w:hAnsi="Franklin Gothic Book"/>
          <w:sz w:val="21"/>
          <w:szCs w:val="21"/>
        </w:rPr>
        <w:lastRenderedPageBreak/>
        <w:t>(IREC) discusses on-bill repayment as a potential solution in its recently released report on this topic.</w:t>
      </w:r>
      <w:r w:rsidRPr="00BD3BE7">
        <w:rPr>
          <w:rStyle w:val="FootnoteReference"/>
          <w:rFonts w:ascii="Franklin Gothic Book" w:hAnsi="Franklin Gothic Book"/>
          <w:sz w:val="21"/>
          <w:szCs w:val="21"/>
        </w:rPr>
        <w:t xml:space="preserve"> </w:t>
      </w:r>
      <w:r w:rsidRPr="00BD3BE7">
        <w:rPr>
          <w:rStyle w:val="FootnoteReference"/>
          <w:rFonts w:ascii="Franklin Gothic Book" w:hAnsi="Franklin Gothic Book"/>
          <w:sz w:val="21"/>
          <w:szCs w:val="21"/>
        </w:rPr>
        <w:footnoteReference w:id="23"/>
      </w:r>
      <w:r w:rsidRPr="00BD3BE7">
        <w:rPr>
          <w:rFonts w:ascii="Franklin Gothic Book" w:hAnsi="Franklin Gothic Book"/>
          <w:sz w:val="21"/>
          <w:szCs w:val="21"/>
        </w:rPr>
        <w:t xml:space="preserve"> The report notes that an on-bill repayment program in New York has allowed residential customers with credit scores as low as 540 to make both energy efficiency and solar investments. </w:t>
      </w:r>
      <w:r w:rsidRPr="0048100A">
        <w:rPr>
          <w:rFonts w:ascii="Franklin Gothic Book" w:hAnsi="Franklin Gothic Book"/>
          <w:sz w:val="21"/>
          <w:szCs w:val="21"/>
        </w:rPr>
        <w:t>An on-bill repayment program could have numerous benefits for low-income customers pursuing both efficiency and solar projects.  Though we do not have the details of an on-bill repayment program to propose at this time, we recommend that the Commission consider this solution in the future.</w:t>
      </w:r>
    </w:p>
    <w:p w:rsidR="007A49CC" w:rsidRPr="0048100A" w:rsidRDefault="007A49CC" w:rsidP="007A49CC">
      <w:pPr>
        <w:spacing w:line="360" w:lineRule="auto"/>
        <w:rPr>
          <w:rFonts w:ascii="Franklin Gothic Book" w:hAnsi="Franklin Gothic Book"/>
          <w:sz w:val="21"/>
          <w:szCs w:val="21"/>
        </w:rPr>
      </w:pPr>
    </w:p>
    <w:p w:rsidR="007A49CC" w:rsidRPr="00493D91" w:rsidRDefault="007A49CC" w:rsidP="007A49CC">
      <w:pPr>
        <w:pStyle w:val="ListParagraph"/>
        <w:numPr>
          <w:ilvl w:val="0"/>
          <w:numId w:val="4"/>
        </w:numPr>
        <w:spacing w:line="360" w:lineRule="auto"/>
        <w:rPr>
          <w:rFonts w:ascii="Franklin Gothic Book" w:hAnsi="Franklin Gothic Book"/>
          <w:sz w:val="21"/>
          <w:szCs w:val="21"/>
        </w:rPr>
      </w:pPr>
      <w:r w:rsidRPr="0048100A">
        <w:rPr>
          <w:rFonts w:ascii="Franklin Gothic Book" w:hAnsi="Franklin Gothic Book"/>
          <w:sz w:val="21"/>
          <w:szCs w:val="21"/>
        </w:rPr>
        <w:t>Differentiated bill credit rate</w:t>
      </w:r>
    </w:p>
    <w:p w:rsidR="007A49CC" w:rsidRPr="00BD3BE7"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 xml:space="preserve">We also explored proposing a different bill credit rate for low-income subscribers, higher than the general residential rate.  If the rate was designed by knowing the loan loss reserve requirement or risk premium financiers place on projects subscribing individuals with less than 680 credit score, the rate could provide the right financial incentive </w:t>
      </w:r>
      <w:r w:rsidRPr="0048100A">
        <w:rPr>
          <w:rFonts w:ascii="Franklin Gothic Book" w:hAnsi="Franklin Gothic Book"/>
          <w:sz w:val="21"/>
          <w:szCs w:val="21"/>
        </w:rPr>
        <w:t xml:space="preserve">for projects to seek out low-income subscribers. </w:t>
      </w:r>
      <w:r>
        <w:rPr>
          <w:rFonts w:ascii="Franklin Gothic Book" w:hAnsi="Franklin Gothic Book"/>
          <w:sz w:val="21"/>
          <w:szCs w:val="21"/>
        </w:rPr>
        <w:t>While we are not in the position to make a recommendation on a specific low-income subscriber adder rate at this time, we recommend that the Commission consider this option if there is little evidence of increase low-income customer access over the next year.</w:t>
      </w:r>
    </w:p>
    <w:p w:rsidR="007A49CC" w:rsidRPr="0048100A" w:rsidRDefault="007A49CC" w:rsidP="007A49CC">
      <w:pPr>
        <w:spacing w:line="360" w:lineRule="auto"/>
        <w:rPr>
          <w:rFonts w:ascii="Franklin Gothic Book" w:hAnsi="Franklin Gothic Book"/>
          <w:sz w:val="21"/>
          <w:szCs w:val="21"/>
        </w:rPr>
      </w:pPr>
    </w:p>
    <w:p w:rsidR="007A49CC" w:rsidRPr="00493D91" w:rsidRDefault="007A49CC" w:rsidP="007A49CC">
      <w:pPr>
        <w:pStyle w:val="ListParagraph"/>
        <w:numPr>
          <w:ilvl w:val="0"/>
          <w:numId w:val="4"/>
        </w:numPr>
        <w:spacing w:line="360" w:lineRule="auto"/>
        <w:rPr>
          <w:rFonts w:ascii="Franklin Gothic Book" w:hAnsi="Franklin Gothic Book"/>
          <w:sz w:val="21"/>
          <w:szCs w:val="21"/>
        </w:rPr>
      </w:pPr>
      <w:r w:rsidRPr="0048100A">
        <w:rPr>
          <w:rFonts w:ascii="Franklin Gothic Book" w:hAnsi="Franklin Gothic Book"/>
          <w:sz w:val="21"/>
          <w:szCs w:val="21"/>
        </w:rPr>
        <w:t>Xcel-owned low-income CSGs</w:t>
      </w:r>
    </w:p>
    <w:p w:rsidR="007A49CC" w:rsidRDefault="007A49CC" w:rsidP="007A49CC">
      <w:pPr>
        <w:spacing w:line="360" w:lineRule="auto"/>
        <w:rPr>
          <w:rFonts w:ascii="Franklin Gothic Book" w:hAnsi="Franklin Gothic Book"/>
          <w:sz w:val="21"/>
          <w:szCs w:val="21"/>
        </w:rPr>
      </w:pPr>
      <w:r>
        <w:rPr>
          <w:rFonts w:ascii="Franklin Gothic Book" w:hAnsi="Franklin Gothic Book"/>
          <w:sz w:val="21"/>
          <w:szCs w:val="21"/>
        </w:rPr>
        <w:t xml:space="preserve">As discussed above, there are numerous barriers—financial or otherwise—facing low-income participation in Xcel’s community solar </w:t>
      </w:r>
      <w:proofErr w:type="gramStart"/>
      <w:r>
        <w:rPr>
          <w:rFonts w:ascii="Franklin Gothic Book" w:hAnsi="Franklin Gothic Book"/>
          <w:sz w:val="21"/>
          <w:szCs w:val="21"/>
        </w:rPr>
        <w:t>program.</w:t>
      </w:r>
      <w:proofErr w:type="gramEnd"/>
      <w:r>
        <w:rPr>
          <w:rFonts w:ascii="Franklin Gothic Book" w:hAnsi="Franklin Gothic Book"/>
          <w:sz w:val="21"/>
          <w:szCs w:val="21"/>
        </w:rPr>
        <w:t xml:space="preserve"> While we are optimistic that the above-stated recommendations have potential to benefit low-income customers, as third-party community solar is a new program there are few case studies demonstrating that the recommendations are sufficient to get financers to finance more community solar gardens that can serve  low-income customers. Likewise, solar developers are just beginning to build relationships with organizations that serve low-income customers, and the customers themselves. </w:t>
      </w:r>
    </w:p>
    <w:p w:rsidR="007A49CC" w:rsidRDefault="007A49CC" w:rsidP="007A49CC">
      <w:pPr>
        <w:spacing w:line="360" w:lineRule="auto"/>
        <w:rPr>
          <w:rFonts w:ascii="Franklin Gothic Book" w:hAnsi="Franklin Gothic Book"/>
          <w:sz w:val="21"/>
          <w:szCs w:val="21"/>
        </w:rPr>
      </w:pPr>
    </w:p>
    <w:p w:rsidR="007A49CC" w:rsidRPr="00BD3BE7" w:rsidRDefault="007A49CC" w:rsidP="007A49CC">
      <w:pPr>
        <w:spacing w:line="360" w:lineRule="auto"/>
        <w:rPr>
          <w:rFonts w:ascii="Franklin Gothic Book" w:hAnsi="Franklin Gothic Book"/>
          <w:sz w:val="21"/>
          <w:szCs w:val="21"/>
        </w:rPr>
      </w:pPr>
      <w:r>
        <w:rPr>
          <w:rFonts w:ascii="Franklin Gothic Book" w:hAnsi="Franklin Gothic Book"/>
          <w:sz w:val="21"/>
          <w:szCs w:val="21"/>
        </w:rPr>
        <w:t xml:space="preserve">With these factors in mind, we recommend that the </w:t>
      </w:r>
      <w:r w:rsidRPr="00BD3BE7">
        <w:rPr>
          <w:rFonts w:ascii="Franklin Gothic Book" w:hAnsi="Franklin Gothic Book"/>
          <w:sz w:val="21"/>
          <w:szCs w:val="21"/>
        </w:rPr>
        <w:t>Commission consider</w:t>
      </w:r>
      <w:r>
        <w:rPr>
          <w:rFonts w:ascii="Franklin Gothic Book" w:hAnsi="Franklin Gothic Book"/>
          <w:sz w:val="21"/>
          <w:szCs w:val="21"/>
        </w:rPr>
        <w:t xml:space="preserve"> directing Xcel to develop a plan for how the Company can develop CSG projects that serve low-income customers. The plan could include Company-owned CSG projects, working with other solar developers, or some combination. We </w:t>
      </w:r>
      <w:r w:rsidR="00C44CE8">
        <w:rPr>
          <w:rFonts w:ascii="Franklin Gothic Book" w:hAnsi="Franklin Gothic Book"/>
          <w:sz w:val="21"/>
          <w:szCs w:val="21"/>
        </w:rPr>
        <w:t xml:space="preserve">understand that conversations regarding utility involvement to increase low-income participation in CSG projects have occurred in Colorado, and we </w:t>
      </w:r>
      <w:r>
        <w:rPr>
          <w:rFonts w:ascii="Franklin Gothic Book" w:hAnsi="Franklin Gothic Book"/>
          <w:sz w:val="21"/>
          <w:szCs w:val="21"/>
        </w:rPr>
        <w:t>are very interested in identifying ways to leverage Xcel’s customer knowledge and expertise to serve low-income customers. At a minimum, we recommend that the plan include a target of developing at least 5 MWs of gardens serving low-income customers over the next few years.</w:t>
      </w:r>
    </w:p>
    <w:p w:rsidR="007A49CC" w:rsidRPr="0048100A" w:rsidRDefault="007A49CC" w:rsidP="007A49CC">
      <w:pPr>
        <w:spacing w:line="360" w:lineRule="auto"/>
        <w:rPr>
          <w:rFonts w:ascii="Franklin Gothic Book" w:hAnsi="Franklin Gothic Book"/>
          <w:sz w:val="21"/>
          <w:szCs w:val="21"/>
        </w:rPr>
      </w:pPr>
    </w:p>
    <w:p w:rsidR="007A49CC" w:rsidRPr="00713795" w:rsidRDefault="007A49CC" w:rsidP="007A49CC">
      <w:pPr>
        <w:spacing w:line="360" w:lineRule="auto"/>
        <w:rPr>
          <w:rFonts w:ascii="Franklin Gothic Book" w:hAnsi="Franklin Gothic Book"/>
          <w:sz w:val="21"/>
          <w:szCs w:val="21"/>
        </w:rPr>
      </w:pPr>
      <w:r w:rsidRPr="0048100A">
        <w:rPr>
          <w:rFonts w:ascii="Franklin Gothic Book" w:hAnsi="Franklin Gothic Book"/>
          <w:sz w:val="21"/>
          <w:szCs w:val="21"/>
        </w:rPr>
        <w:t xml:space="preserve">All of these options </w:t>
      </w:r>
      <w:r w:rsidRPr="00F1766F">
        <w:rPr>
          <w:rFonts w:ascii="Franklin Gothic Book" w:hAnsi="Franklin Gothic Book"/>
          <w:sz w:val="21"/>
          <w:szCs w:val="21"/>
        </w:rPr>
        <w:t>could alleviate the need for the other recommendations</w:t>
      </w:r>
      <w:r>
        <w:rPr>
          <w:rFonts w:ascii="Franklin Gothic Book" w:hAnsi="Franklin Gothic Book"/>
          <w:sz w:val="21"/>
          <w:szCs w:val="21"/>
        </w:rPr>
        <w:t xml:space="preserve"> if fully developed. </w:t>
      </w:r>
      <w:r w:rsidRPr="00F1766F">
        <w:rPr>
          <w:rFonts w:ascii="Franklin Gothic Book" w:hAnsi="Franklin Gothic Book"/>
          <w:sz w:val="21"/>
          <w:szCs w:val="21"/>
        </w:rPr>
        <w:t>Although we do not have</w:t>
      </w:r>
      <w:r w:rsidRPr="00E84BEE">
        <w:rPr>
          <w:rFonts w:ascii="Franklin Gothic Book" w:hAnsi="Franklin Gothic Book"/>
          <w:sz w:val="21"/>
          <w:szCs w:val="21"/>
        </w:rPr>
        <w:t xml:space="preserve"> this information in the record at this time,</w:t>
      </w:r>
      <w:r>
        <w:rPr>
          <w:rFonts w:ascii="Franklin Gothic Book" w:hAnsi="Franklin Gothic Book"/>
          <w:sz w:val="21"/>
          <w:szCs w:val="21"/>
        </w:rPr>
        <w:t xml:space="preserve"> we are hopeful that, with more gardens coming online this year and as the financial community becomes more familiar with these </w:t>
      </w:r>
      <w:proofErr w:type="gramStart"/>
      <w:r>
        <w:rPr>
          <w:rFonts w:ascii="Franklin Gothic Book" w:hAnsi="Franklin Gothic Book"/>
          <w:sz w:val="21"/>
          <w:szCs w:val="21"/>
        </w:rPr>
        <w:t>projects,</w:t>
      </w:r>
      <w:proofErr w:type="gramEnd"/>
      <w:r>
        <w:rPr>
          <w:rFonts w:ascii="Franklin Gothic Book" w:hAnsi="Franklin Gothic Book"/>
          <w:sz w:val="21"/>
          <w:szCs w:val="21"/>
        </w:rPr>
        <w:t xml:space="preserve"> the details needed to fully develop these recommendations will be available. </w:t>
      </w:r>
      <w:r w:rsidRPr="00E84BEE">
        <w:rPr>
          <w:rFonts w:ascii="Franklin Gothic Book" w:hAnsi="Franklin Gothic Book"/>
          <w:sz w:val="21"/>
          <w:szCs w:val="21"/>
        </w:rPr>
        <w:t xml:space="preserve">We </w:t>
      </w:r>
      <w:r w:rsidRPr="00713795">
        <w:rPr>
          <w:rFonts w:ascii="Franklin Gothic Book" w:hAnsi="Franklin Gothic Book"/>
          <w:sz w:val="21"/>
          <w:szCs w:val="21"/>
        </w:rPr>
        <w:t>encourage the Commission to consider these options for further exploration.</w:t>
      </w:r>
    </w:p>
    <w:p w:rsidR="007A49CC" w:rsidRPr="00BD3BE7" w:rsidRDefault="007A49CC" w:rsidP="007A49CC">
      <w:pPr>
        <w:spacing w:line="360" w:lineRule="auto"/>
        <w:rPr>
          <w:rFonts w:ascii="Franklin Gothic Book" w:hAnsi="Franklin Gothic Book"/>
          <w:sz w:val="21"/>
          <w:szCs w:val="21"/>
        </w:rPr>
      </w:pPr>
    </w:p>
    <w:p w:rsidR="007A49CC" w:rsidRPr="00BD3BE7" w:rsidRDefault="007A49CC" w:rsidP="007A49CC">
      <w:pPr>
        <w:pStyle w:val="ListParagraph"/>
        <w:numPr>
          <w:ilvl w:val="0"/>
          <w:numId w:val="1"/>
        </w:numPr>
        <w:spacing w:line="360" w:lineRule="auto"/>
        <w:rPr>
          <w:rFonts w:ascii="Franklin Gothic Book" w:hAnsi="Franklin Gothic Book"/>
          <w:i/>
          <w:sz w:val="21"/>
          <w:szCs w:val="21"/>
        </w:rPr>
      </w:pPr>
      <w:r w:rsidRPr="00BD3BE7">
        <w:rPr>
          <w:rFonts w:ascii="Franklin Gothic Book" w:hAnsi="Franklin Gothic Book"/>
          <w:b/>
          <w:sz w:val="21"/>
          <w:szCs w:val="21"/>
        </w:rPr>
        <w:t>Recommendations</w:t>
      </w:r>
    </w:p>
    <w:p w:rsidR="007A49CC" w:rsidRPr="00BD3BE7" w:rsidRDefault="007A49CC" w:rsidP="007A49CC">
      <w:pPr>
        <w:spacing w:line="360" w:lineRule="auto"/>
        <w:rPr>
          <w:rFonts w:ascii="Franklin Gothic Book" w:hAnsi="Franklin Gothic Book"/>
          <w:i/>
          <w:sz w:val="21"/>
          <w:szCs w:val="21"/>
        </w:rPr>
      </w:pPr>
    </w:p>
    <w:p w:rsidR="007A49CC" w:rsidRPr="00BD3BE7" w:rsidRDefault="007A49CC" w:rsidP="007A49CC">
      <w:pPr>
        <w:spacing w:line="360" w:lineRule="auto"/>
        <w:rPr>
          <w:rFonts w:ascii="Franklin Gothic Book" w:hAnsi="Franklin Gothic Book"/>
          <w:sz w:val="21"/>
          <w:szCs w:val="21"/>
        </w:rPr>
      </w:pPr>
      <w:r w:rsidRPr="00BD3BE7">
        <w:rPr>
          <w:rFonts w:ascii="Franklin Gothic Book" w:hAnsi="Franklin Gothic Book"/>
          <w:sz w:val="21"/>
          <w:szCs w:val="21"/>
        </w:rPr>
        <w:t>Fresh Energy, [co-signers] recommend that the Commission:</w:t>
      </w:r>
    </w:p>
    <w:p w:rsidR="007A49CC" w:rsidRPr="00713795" w:rsidRDefault="007A49CC" w:rsidP="007A49CC">
      <w:pPr>
        <w:pStyle w:val="ListParagraph"/>
        <w:numPr>
          <w:ilvl w:val="0"/>
          <w:numId w:val="2"/>
        </w:numPr>
        <w:spacing w:line="360" w:lineRule="auto"/>
        <w:rPr>
          <w:rFonts w:ascii="Franklin Gothic Book" w:hAnsi="Franklin Gothic Book"/>
          <w:sz w:val="21"/>
          <w:szCs w:val="21"/>
        </w:rPr>
      </w:pPr>
      <w:r w:rsidRPr="00BD3BE7">
        <w:rPr>
          <w:rFonts w:ascii="Franklin Gothic Book" w:hAnsi="Franklin Gothic Book"/>
          <w:sz w:val="21"/>
          <w:szCs w:val="21"/>
        </w:rPr>
        <w:t>Establish a definition of “low-income” that includes households earning up to 80 percent of area median income (AMI), with households participating in existing energy assistance income-based programs automatically qualified as “low-income” for the purposes of the CSG program.</w:t>
      </w:r>
      <w:r>
        <w:rPr>
          <w:rFonts w:ascii="Franklin Gothic Book" w:hAnsi="Franklin Gothic Book"/>
          <w:sz w:val="21"/>
          <w:szCs w:val="21"/>
        </w:rPr>
        <w:t xml:space="preserve"> Further, Xcel should be required to coordinate with developers and approved low-income organizations to develop marketing and education materials for low-income customers.</w:t>
      </w:r>
    </w:p>
    <w:p w:rsidR="007A49CC" w:rsidRPr="00713795" w:rsidRDefault="007A49CC" w:rsidP="007A49CC">
      <w:pPr>
        <w:pStyle w:val="ListParagraph"/>
        <w:numPr>
          <w:ilvl w:val="0"/>
          <w:numId w:val="2"/>
        </w:numPr>
        <w:spacing w:line="360" w:lineRule="auto"/>
        <w:rPr>
          <w:rFonts w:ascii="Franklin Gothic Book" w:hAnsi="Franklin Gothic Book"/>
          <w:sz w:val="21"/>
          <w:szCs w:val="21"/>
        </w:rPr>
      </w:pPr>
      <w:r w:rsidRPr="00713795">
        <w:rPr>
          <w:rFonts w:ascii="Franklin Gothic Book" w:hAnsi="Franklin Gothic Book"/>
          <w:sz w:val="21"/>
          <w:szCs w:val="21"/>
        </w:rPr>
        <w:t>Set a target low-income participation level of 10 percent per garden. For each garden meeting this threshold:</w:t>
      </w:r>
    </w:p>
    <w:p w:rsidR="007A49CC" w:rsidRPr="00713795" w:rsidRDefault="007A49CC" w:rsidP="007A49CC">
      <w:pPr>
        <w:pStyle w:val="ListParagraph"/>
        <w:numPr>
          <w:ilvl w:val="1"/>
          <w:numId w:val="2"/>
        </w:numPr>
        <w:spacing w:line="360" w:lineRule="auto"/>
        <w:rPr>
          <w:rFonts w:ascii="Franklin Gothic Book" w:hAnsi="Franklin Gothic Book"/>
          <w:sz w:val="21"/>
          <w:szCs w:val="21"/>
        </w:rPr>
      </w:pPr>
      <w:r w:rsidRPr="00713795">
        <w:rPr>
          <w:rFonts w:ascii="Franklin Gothic Book" w:hAnsi="Franklin Gothic Book"/>
          <w:sz w:val="21"/>
          <w:szCs w:val="21"/>
        </w:rPr>
        <w:t>waive the application deposit;</w:t>
      </w:r>
    </w:p>
    <w:p w:rsidR="007A49CC" w:rsidRPr="00713795" w:rsidRDefault="007A49CC" w:rsidP="007A49CC">
      <w:pPr>
        <w:pStyle w:val="ListParagraph"/>
        <w:numPr>
          <w:ilvl w:val="1"/>
          <w:numId w:val="2"/>
        </w:numPr>
        <w:spacing w:line="360" w:lineRule="auto"/>
        <w:rPr>
          <w:rFonts w:ascii="Franklin Gothic Book" w:hAnsi="Franklin Gothic Book"/>
          <w:sz w:val="21"/>
          <w:szCs w:val="21"/>
        </w:rPr>
      </w:pPr>
      <w:r w:rsidRPr="00713795">
        <w:rPr>
          <w:rFonts w:ascii="Franklin Gothic Book" w:hAnsi="Franklin Gothic Book"/>
          <w:sz w:val="21"/>
          <w:szCs w:val="21"/>
        </w:rPr>
        <w:t>waive any engineering study fees; and</w:t>
      </w:r>
    </w:p>
    <w:p w:rsidR="007A49CC" w:rsidRPr="00BD3BE7" w:rsidRDefault="007A49CC" w:rsidP="007A49CC">
      <w:pPr>
        <w:pStyle w:val="ListParagraph"/>
        <w:numPr>
          <w:ilvl w:val="1"/>
          <w:numId w:val="2"/>
        </w:numPr>
        <w:spacing w:line="360" w:lineRule="auto"/>
        <w:rPr>
          <w:rFonts w:ascii="Franklin Gothic Book" w:hAnsi="Franklin Gothic Book"/>
          <w:sz w:val="21"/>
          <w:szCs w:val="21"/>
        </w:rPr>
      </w:pPr>
      <w:proofErr w:type="gramStart"/>
      <w:r w:rsidRPr="00BD3BE7">
        <w:rPr>
          <w:rFonts w:ascii="Franklin Gothic Book" w:hAnsi="Franklin Gothic Book"/>
          <w:sz w:val="21"/>
          <w:szCs w:val="21"/>
        </w:rPr>
        <w:t>allow</w:t>
      </w:r>
      <w:proofErr w:type="gramEnd"/>
      <w:r w:rsidRPr="00BD3BE7">
        <w:rPr>
          <w:rFonts w:ascii="Franklin Gothic Book" w:hAnsi="Franklin Gothic Book"/>
          <w:sz w:val="21"/>
          <w:szCs w:val="21"/>
        </w:rPr>
        <w:t xml:space="preserve"> backup subscribers in formal backup subscription contracts to temporarily increase their subscription up to 60 percent of the garden for up to 90 days when they backfill low- income subscribers. Backup subscribers with verified backup subscription contracts should be eligible to receive the low income subscriber’s bill credit rate for the portion of the garden they are backfilling during the 90 day period.</w:t>
      </w:r>
      <w:r>
        <w:rPr>
          <w:rFonts w:ascii="Franklin Gothic Book" w:hAnsi="Franklin Gothic Book"/>
          <w:sz w:val="21"/>
          <w:szCs w:val="21"/>
        </w:rPr>
        <w:t xml:space="preserve"> The Company should develop a new Subscriber Agency Agreement that accommodates changes in the backup subscriber’s total subscription amount over time.</w:t>
      </w:r>
    </w:p>
    <w:p w:rsidR="007A49CC" w:rsidRPr="00BD3BE7" w:rsidRDefault="007A49CC" w:rsidP="007A49CC">
      <w:pPr>
        <w:spacing w:line="360" w:lineRule="auto"/>
        <w:ind w:left="1080"/>
        <w:rPr>
          <w:rFonts w:ascii="Franklin Gothic Book" w:hAnsi="Franklin Gothic Book"/>
          <w:sz w:val="21"/>
          <w:szCs w:val="21"/>
        </w:rPr>
      </w:pPr>
      <w:r w:rsidRPr="00BD3BE7">
        <w:rPr>
          <w:rFonts w:ascii="Franklin Gothic Book" w:hAnsi="Franklin Gothic Book"/>
          <w:sz w:val="21"/>
          <w:szCs w:val="21"/>
        </w:rPr>
        <w:t xml:space="preserve">To ensure ongoing compliance, if a garden falls below 10 percent low-income participation for 90 days, the portion of the garden below the 10 percent target level would revert to the unsubscribed energy credited to the developer until low-income participation reaches 10 percent of a garden’s energy production.  </w:t>
      </w:r>
    </w:p>
    <w:p w:rsidR="007A49CC" w:rsidRPr="00BD3BE7" w:rsidRDefault="007A49CC" w:rsidP="007A49CC">
      <w:pPr>
        <w:spacing w:line="360" w:lineRule="auto"/>
        <w:ind w:left="1080"/>
        <w:rPr>
          <w:rFonts w:ascii="Franklin Gothic Book" w:hAnsi="Franklin Gothic Book"/>
          <w:sz w:val="21"/>
          <w:szCs w:val="21"/>
        </w:rPr>
      </w:pPr>
    </w:p>
    <w:p w:rsidR="007A49CC" w:rsidRPr="00BD3BE7" w:rsidRDefault="007A49CC" w:rsidP="007A49CC">
      <w:pPr>
        <w:spacing w:line="360" w:lineRule="auto"/>
        <w:ind w:left="360"/>
        <w:rPr>
          <w:rFonts w:ascii="Franklin Gothic Book" w:hAnsi="Franklin Gothic Book"/>
          <w:sz w:val="21"/>
          <w:szCs w:val="21"/>
        </w:rPr>
      </w:pPr>
      <w:r w:rsidRPr="00BD3BE7">
        <w:rPr>
          <w:rFonts w:ascii="Franklin Gothic Book" w:hAnsi="Franklin Gothic Book"/>
          <w:sz w:val="21"/>
          <w:szCs w:val="21"/>
        </w:rPr>
        <w:t>In addition, we recommend that the Commission further explore the options discussed above but not expressly included in Recommendations 1 and 2:</w:t>
      </w:r>
    </w:p>
    <w:p w:rsidR="007A49CC" w:rsidRPr="00BD3BE7" w:rsidRDefault="007A49CC" w:rsidP="007A49CC">
      <w:pPr>
        <w:pStyle w:val="ListParagraph"/>
        <w:numPr>
          <w:ilvl w:val="0"/>
          <w:numId w:val="5"/>
        </w:numPr>
        <w:spacing w:line="360" w:lineRule="auto"/>
        <w:rPr>
          <w:rFonts w:ascii="Franklin Gothic Book" w:hAnsi="Franklin Gothic Book"/>
          <w:sz w:val="21"/>
          <w:szCs w:val="21"/>
        </w:rPr>
      </w:pPr>
      <w:r w:rsidRPr="00BD3BE7">
        <w:rPr>
          <w:rFonts w:ascii="Franklin Gothic Book" w:hAnsi="Franklin Gothic Book"/>
          <w:sz w:val="21"/>
          <w:szCs w:val="21"/>
        </w:rPr>
        <w:t>On-bill repayment.</w:t>
      </w:r>
      <w:r w:rsidRPr="00493D91">
        <w:rPr>
          <w:rFonts w:ascii="Franklin Gothic Book" w:hAnsi="Franklin Gothic Book"/>
          <w:sz w:val="21"/>
          <w:szCs w:val="21"/>
        </w:rPr>
        <w:t xml:space="preserve"> </w:t>
      </w:r>
      <w:r w:rsidRPr="00BD3BE7">
        <w:rPr>
          <w:rFonts w:ascii="Franklin Gothic Book" w:hAnsi="Franklin Gothic Book"/>
          <w:sz w:val="21"/>
          <w:szCs w:val="21"/>
        </w:rPr>
        <w:t>On-bill repayment</w:t>
      </w:r>
      <w:r>
        <w:rPr>
          <w:rFonts w:ascii="Franklin Gothic Book" w:hAnsi="Franklin Gothic Book"/>
          <w:sz w:val="21"/>
          <w:szCs w:val="21"/>
        </w:rPr>
        <w:t xml:space="preserve"> would provide an efficient way for a low-income customer to repay CSG costs on his or her existing utility bill, reducing consumer confusion.</w:t>
      </w:r>
    </w:p>
    <w:p w:rsidR="007A49CC" w:rsidRPr="00BD3BE7" w:rsidRDefault="007A49CC" w:rsidP="007A49CC">
      <w:pPr>
        <w:pStyle w:val="ListParagraph"/>
        <w:numPr>
          <w:ilvl w:val="0"/>
          <w:numId w:val="5"/>
        </w:numPr>
        <w:spacing w:line="360" w:lineRule="auto"/>
        <w:rPr>
          <w:rFonts w:ascii="Franklin Gothic Book" w:hAnsi="Franklin Gothic Book"/>
          <w:sz w:val="21"/>
          <w:szCs w:val="21"/>
        </w:rPr>
      </w:pPr>
      <w:r w:rsidRPr="00BD3BE7">
        <w:rPr>
          <w:rFonts w:ascii="Franklin Gothic Book" w:hAnsi="Franklin Gothic Book"/>
          <w:sz w:val="21"/>
          <w:szCs w:val="21"/>
        </w:rPr>
        <w:lastRenderedPageBreak/>
        <w:t>A</w:t>
      </w:r>
      <w:r w:rsidRPr="00493D91">
        <w:rPr>
          <w:rFonts w:ascii="Franklin Gothic Book" w:hAnsi="Franklin Gothic Book"/>
          <w:sz w:val="21"/>
          <w:szCs w:val="21"/>
        </w:rPr>
        <w:t xml:space="preserve"> differentiated bill credit rate</w:t>
      </w:r>
      <w:r>
        <w:rPr>
          <w:rFonts w:ascii="Franklin Gothic Book" w:hAnsi="Franklin Gothic Book"/>
          <w:sz w:val="21"/>
          <w:szCs w:val="21"/>
        </w:rPr>
        <w:t xml:space="preserve"> for low-income customers. </w:t>
      </w:r>
      <w:r w:rsidRPr="00713795">
        <w:rPr>
          <w:rFonts w:ascii="Franklin Gothic Book" w:hAnsi="Franklin Gothic Book"/>
          <w:sz w:val="21"/>
          <w:szCs w:val="21"/>
        </w:rPr>
        <w:t xml:space="preserve">A differentiated bill credit rate, if properly </w:t>
      </w:r>
      <w:r>
        <w:rPr>
          <w:rFonts w:ascii="Franklin Gothic Book" w:hAnsi="Franklin Gothic Book"/>
          <w:sz w:val="21"/>
          <w:szCs w:val="21"/>
        </w:rPr>
        <w:t>designed</w:t>
      </w:r>
      <w:r w:rsidRPr="00713795">
        <w:rPr>
          <w:rFonts w:ascii="Franklin Gothic Book" w:hAnsi="Franklin Gothic Book"/>
          <w:sz w:val="21"/>
          <w:szCs w:val="21"/>
        </w:rPr>
        <w:t>,</w:t>
      </w:r>
      <w:r>
        <w:rPr>
          <w:rFonts w:ascii="Franklin Gothic Book" w:hAnsi="Franklin Gothic Book"/>
          <w:sz w:val="21"/>
          <w:szCs w:val="21"/>
        </w:rPr>
        <w:t xml:space="preserve"> could provide an incentive for financers to back CSG projects with low-income subscribers.</w:t>
      </w:r>
      <w:r w:rsidRPr="00713795">
        <w:rPr>
          <w:rFonts w:ascii="Franklin Gothic Book" w:hAnsi="Franklin Gothic Book"/>
          <w:sz w:val="21"/>
          <w:szCs w:val="21"/>
        </w:rPr>
        <w:t xml:space="preserve"> </w:t>
      </w:r>
    </w:p>
    <w:p w:rsidR="007A49CC" w:rsidRDefault="007A49CC" w:rsidP="007A49CC">
      <w:pPr>
        <w:pStyle w:val="ListParagraph"/>
        <w:numPr>
          <w:ilvl w:val="0"/>
          <w:numId w:val="5"/>
        </w:numPr>
        <w:spacing w:line="360" w:lineRule="auto"/>
        <w:rPr>
          <w:rFonts w:ascii="Franklin Gothic Book" w:hAnsi="Franklin Gothic Book"/>
          <w:sz w:val="21"/>
          <w:szCs w:val="21"/>
        </w:rPr>
      </w:pPr>
      <w:r w:rsidRPr="00493D91">
        <w:rPr>
          <w:rFonts w:ascii="Franklin Gothic Book" w:hAnsi="Franklin Gothic Book"/>
          <w:sz w:val="21"/>
          <w:szCs w:val="21"/>
        </w:rPr>
        <w:t xml:space="preserve">Xcel Energy should develop a proposal for how the Company can serve low-income community solar customers. The Company’s existing low-income programs and project development knowledge could effectively serve low-income customers interested in community solar with a well-designed program that considers Company-operated gardens, partnerships with solar developers, or a combination of both. </w:t>
      </w:r>
    </w:p>
    <w:p w:rsidR="007A49CC" w:rsidRPr="004E3262" w:rsidRDefault="007A49CC" w:rsidP="007A49CC">
      <w:pPr>
        <w:pStyle w:val="ListParagraph"/>
        <w:spacing w:line="360" w:lineRule="auto"/>
        <w:ind w:left="1080"/>
        <w:rPr>
          <w:rFonts w:ascii="Franklin Gothic Book" w:hAnsi="Franklin Gothic Book"/>
          <w:sz w:val="21"/>
          <w:szCs w:val="21"/>
        </w:rPr>
      </w:pPr>
    </w:p>
    <w:p w:rsidR="007A49CC" w:rsidRPr="00C84CED" w:rsidRDefault="007A49CC" w:rsidP="007A49CC">
      <w:pPr>
        <w:keepNext/>
        <w:ind w:left="5760"/>
        <w:rPr>
          <w:rFonts w:ascii="Franklin Gothic Book" w:hAnsi="Franklin Gothic Book" w:cs="Times New Roman"/>
          <w:color w:val="000000" w:themeColor="text1"/>
          <w:sz w:val="21"/>
          <w:szCs w:val="21"/>
          <w:u w:val="single"/>
        </w:rPr>
      </w:pPr>
      <w:r w:rsidRPr="00BD3BE7">
        <w:rPr>
          <w:rFonts w:ascii="Franklin Gothic Book" w:hAnsi="Franklin Gothic Book" w:cs="Times New Roman"/>
          <w:color w:val="000000" w:themeColor="text1"/>
          <w:sz w:val="21"/>
          <w:szCs w:val="21"/>
          <w:u w:val="single"/>
        </w:rPr>
        <w:t xml:space="preserve">/s/ </w:t>
      </w:r>
      <w:r w:rsidRPr="00C84CED">
        <w:rPr>
          <w:rFonts w:ascii="Franklin Gothic Book" w:hAnsi="Franklin Gothic Book" w:cs="Times New Roman"/>
          <w:i/>
          <w:color w:val="000000" w:themeColor="text1"/>
          <w:sz w:val="21"/>
          <w:szCs w:val="21"/>
          <w:u w:val="single"/>
        </w:rPr>
        <w:t>Holly Lahd</w:t>
      </w:r>
    </w:p>
    <w:p w:rsidR="007A49CC" w:rsidRPr="0048100A" w:rsidRDefault="007A49CC" w:rsidP="007A49CC">
      <w:pPr>
        <w:keepNext/>
        <w:ind w:left="5760"/>
        <w:rPr>
          <w:rFonts w:ascii="Franklin Gothic Book" w:hAnsi="Franklin Gothic Book" w:cs="Times New Roman"/>
          <w:color w:val="000000" w:themeColor="text1"/>
          <w:sz w:val="21"/>
          <w:szCs w:val="21"/>
        </w:rPr>
      </w:pPr>
      <w:r w:rsidRPr="0048100A">
        <w:rPr>
          <w:rFonts w:ascii="Franklin Gothic Book" w:hAnsi="Franklin Gothic Book" w:cs="Times New Roman"/>
          <w:color w:val="000000" w:themeColor="text1"/>
          <w:sz w:val="21"/>
          <w:szCs w:val="21"/>
        </w:rPr>
        <w:t>Holly Lahd</w:t>
      </w:r>
    </w:p>
    <w:p w:rsidR="007A49CC" w:rsidRPr="0048100A" w:rsidRDefault="007A49CC" w:rsidP="007A49CC">
      <w:pPr>
        <w:keepNext/>
        <w:ind w:left="5760"/>
        <w:rPr>
          <w:rFonts w:ascii="Franklin Gothic Book" w:hAnsi="Franklin Gothic Book" w:cs="Times New Roman"/>
          <w:color w:val="000000" w:themeColor="text1"/>
          <w:sz w:val="21"/>
          <w:szCs w:val="21"/>
        </w:rPr>
      </w:pPr>
      <w:r w:rsidRPr="0048100A">
        <w:rPr>
          <w:rFonts w:ascii="Franklin Gothic Book" w:hAnsi="Franklin Gothic Book" w:cs="Times New Roman"/>
          <w:color w:val="000000" w:themeColor="text1"/>
          <w:sz w:val="21"/>
          <w:szCs w:val="21"/>
        </w:rPr>
        <w:t>Director, Electricity Markets</w:t>
      </w:r>
    </w:p>
    <w:p w:rsidR="007A49CC" w:rsidRPr="0048100A" w:rsidRDefault="007A49CC" w:rsidP="007A49CC">
      <w:pPr>
        <w:keepNext/>
        <w:ind w:left="5760"/>
        <w:rPr>
          <w:rFonts w:ascii="Franklin Gothic Book" w:hAnsi="Franklin Gothic Book" w:cs="Times New Roman"/>
          <w:color w:val="000000" w:themeColor="text1"/>
          <w:sz w:val="21"/>
          <w:szCs w:val="21"/>
        </w:rPr>
      </w:pPr>
      <w:r w:rsidRPr="0048100A">
        <w:rPr>
          <w:rFonts w:ascii="Franklin Gothic Book" w:hAnsi="Franklin Gothic Book" w:cs="Times New Roman"/>
          <w:color w:val="000000" w:themeColor="text1"/>
          <w:sz w:val="21"/>
          <w:szCs w:val="21"/>
        </w:rPr>
        <w:t>Fresh Energy</w:t>
      </w:r>
    </w:p>
    <w:p w:rsidR="007A49CC" w:rsidRPr="0048100A" w:rsidRDefault="007A49CC" w:rsidP="007A49CC">
      <w:pPr>
        <w:keepNext/>
        <w:ind w:left="5760"/>
        <w:rPr>
          <w:rFonts w:ascii="Franklin Gothic Book" w:hAnsi="Franklin Gothic Book" w:cs="Times New Roman"/>
          <w:color w:val="000000" w:themeColor="text1"/>
          <w:sz w:val="21"/>
          <w:szCs w:val="21"/>
        </w:rPr>
      </w:pPr>
      <w:r w:rsidRPr="0048100A">
        <w:rPr>
          <w:rFonts w:ascii="Franklin Gothic Book" w:hAnsi="Franklin Gothic Book" w:cs="Times New Roman"/>
          <w:color w:val="000000" w:themeColor="text1"/>
          <w:sz w:val="21"/>
          <w:szCs w:val="21"/>
        </w:rPr>
        <w:t>408 St. Peter Street, Suite 220</w:t>
      </w:r>
    </w:p>
    <w:p w:rsidR="007A49CC" w:rsidRPr="00F1766F" w:rsidRDefault="007A49CC" w:rsidP="007A49CC">
      <w:pPr>
        <w:keepNext/>
        <w:ind w:left="5760"/>
        <w:rPr>
          <w:rFonts w:ascii="Franklin Gothic Book" w:hAnsi="Franklin Gothic Book" w:cs="Times New Roman"/>
          <w:color w:val="000000" w:themeColor="text1"/>
          <w:sz w:val="21"/>
          <w:szCs w:val="21"/>
        </w:rPr>
      </w:pPr>
      <w:r w:rsidRPr="00F1766F">
        <w:rPr>
          <w:rFonts w:ascii="Franklin Gothic Book" w:hAnsi="Franklin Gothic Book" w:cs="Times New Roman"/>
          <w:color w:val="000000" w:themeColor="text1"/>
          <w:sz w:val="21"/>
          <w:szCs w:val="21"/>
        </w:rPr>
        <w:t>St. Paul, MN 55102</w:t>
      </w:r>
    </w:p>
    <w:p w:rsidR="007A49CC" w:rsidRPr="00E84BEE" w:rsidRDefault="007A49CC" w:rsidP="007A49CC">
      <w:pPr>
        <w:keepNext/>
        <w:ind w:left="5760"/>
        <w:rPr>
          <w:rFonts w:ascii="Franklin Gothic Book" w:hAnsi="Franklin Gothic Book" w:cs="Times New Roman"/>
          <w:color w:val="000000" w:themeColor="text1"/>
          <w:sz w:val="21"/>
          <w:szCs w:val="21"/>
        </w:rPr>
      </w:pPr>
      <w:r w:rsidRPr="00F1766F">
        <w:rPr>
          <w:rFonts w:ascii="Franklin Gothic Book" w:hAnsi="Franklin Gothic Book" w:cs="Times New Roman"/>
          <w:color w:val="000000" w:themeColor="text1"/>
          <w:sz w:val="21"/>
          <w:szCs w:val="21"/>
        </w:rPr>
        <w:t xml:space="preserve">(651) </w:t>
      </w:r>
      <w:r w:rsidRPr="00E84BEE">
        <w:rPr>
          <w:rFonts w:ascii="Franklin Gothic Book" w:hAnsi="Franklin Gothic Book" w:cs="Times New Roman"/>
          <w:color w:val="000000" w:themeColor="text1"/>
          <w:sz w:val="21"/>
          <w:szCs w:val="21"/>
        </w:rPr>
        <w:t>294-7141</w:t>
      </w:r>
    </w:p>
    <w:p w:rsidR="007A49CC" w:rsidRPr="00E84BEE" w:rsidRDefault="007A49CC" w:rsidP="007A49CC">
      <w:pPr>
        <w:keepNext/>
        <w:ind w:left="5760"/>
        <w:rPr>
          <w:rFonts w:ascii="Franklin Gothic Book" w:hAnsi="Franklin Gothic Book" w:cs="Times New Roman"/>
          <w:color w:val="000000" w:themeColor="text1"/>
          <w:sz w:val="21"/>
          <w:szCs w:val="21"/>
        </w:rPr>
      </w:pPr>
      <w:r w:rsidRPr="00E84BEE">
        <w:rPr>
          <w:rFonts w:ascii="Franklin Gothic Book" w:hAnsi="Franklin Gothic Book" w:cs="Times New Roman"/>
          <w:color w:val="000000" w:themeColor="text1"/>
          <w:sz w:val="21"/>
          <w:szCs w:val="21"/>
        </w:rPr>
        <w:t>lahd@fresh-energy.org</w:t>
      </w:r>
    </w:p>
    <w:p w:rsidR="007A49CC" w:rsidRPr="00713795" w:rsidRDefault="007A49CC" w:rsidP="007A49CC">
      <w:pPr>
        <w:spacing w:line="360" w:lineRule="auto"/>
        <w:rPr>
          <w:rFonts w:ascii="Franklin Gothic Book" w:hAnsi="Franklin Gothic Book"/>
          <w:sz w:val="21"/>
          <w:szCs w:val="21"/>
        </w:rPr>
      </w:pPr>
    </w:p>
    <w:p w:rsidR="007A49CC" w:rsidRPr="00713795" w:rsidRDefault="007A49CC" w:rsidP="007A49CC">
      <w:pPr>
        <w:spacing w:line="360" w:lineRule="auto"/>
        <w:rPr>
          <w:rFonts w:ascii="Franklin Gothic Book" w:hAnsi="Franklin Gothic Book"/>
          <w:sz w:val="21"/>
          <w:szCs w:val="21"/>
        </w:rPr>
      </w:pPr>
    </w:p>
    <w:p w:rsidR="007A49CC" w:rsidRPr="00BD3BE7" w:rsidRDefault="007A49CC" w:rsidP="007A49CC">
      <w:pPr>
        <w:keepNext/>
        <w:ind w:left="5760"/>
        <w:rPr>
          <w:rFonts w:ascii="Franklin Gothic Book" w:hAnsi="Franklin Gothic Book" w:cs="Times New Roman"/>
          <w:color w:val="000000" w:themeColor="text1"/>
          <w:sz w:val="21"/>
          <w:szCs w:val="21"/>
          <w:u w:val="single"/>
        </w:rPr>
      </w:pPr>
      <w:r w:rsidRPr="00BD3BE7">
        <w:rPr>
          <w:rFonts w:ascii="Franklin Gothic Book" w:hAnsi="Franklin Gothic Book" w:cs="Times New Roman"/>
          <w:color w:val="000000" w:themeColor="text1"/>
          <w:sz w:val="21"/>
          <w:szCs w:val="21"/>
          <w:u w:val="single"/>
        </w:rPr>
        <w:t xml:space="preserve">/s/ </w:t>
      </w:r>
      <w:r w:rsidRPr="00BD3BE7">
        <w:rPr>
          <w:rFonts w:ascii="Franklin Gothic Book" w:hAnsi="Franklin Gothic Book" w:cs="Times New Roman"/>
          <w:i/>
          <w:color w:val="000000" w:themeColor="text1"/>
          <w:sz w:val="21"/>
          <w:szCs w:val="21"/>
          <w:u w:val="single"/>
        </w:rPr>
        <w:t>Ben Passer</w:t>
      </w:r>
    </w:p>
    <w:p w:rsidR="007A49CC" w:rsidRPr="00BD3BE7" w:rsidRDefault="007A49CC" w:rsidP="007A49CC">
      <w:pPr>
        <w:keepNext/>
        <w:ind w:left="5760"/>
        <w:rPr>
          <w:rFonts w:ascii="Franklin Gothic Book" w:hAnsi="Franklin Gothic Book" w:cs="Times New Roman"/>
          <w:color w:val="000000" w:themeColor="text1"/>
          <w:sz w:val="21"/>
          <w:szCs w:val="21"/>
        </w:rPr>
      </w:pPr>
      <w:r w:rsidRPr="00BD3BE7">
        <w:rPr>
          <w:rFonts w:ascii="Franklin Gothic Book" w:hAnsi="Franklin Gothic Book" w:cs="Times New Roman"/>
          <w:color w:val="000000" w:themeColor="text1"/>
          <w:sz w:val="21"/>
          <w:szCs w:val="21"/>
        </w:rPr>
        <w:t>Ben Passer</w:t>
      </w:r>
    </w:p>
    <w:p w:rsidR="007A49CC" w:rsidRPr="00BD3BE7" w:rsidRDefault="007A49CC" w:rsidP="007A49CC">
      <w:pPr>
        <w:keepNext/>
        <w:ind w:left="5760"/>
        <w:rPr>
          <w:rFonts w:ascii="Franklin Gothic Book" w:hAnsi="Franklin Gothic Book" w:cs="Times New Roman"/>
          <w:color w:val="000000" w:themeColor="text1"/>
          <w:sz w:val="21"/>
          <w:szCs w:val="21"/>
        </w:rPr>
      </w:pPr>
      <w:r w:rsidRPr="00BD3BE7">
        <w:rPr>
          <w:rFonts w:ascii="Franklin Gothic Book" w:hAnsi="Franklin Gothic Book" w:cs="Times New Roman"/>
          <w:color w:val="000000" w:themeColor="text1"/>
          <w:sz w:val="21"/>
          <w:szCs w:val="21"/>
        </w:rPr>
        <w:t>Policy Associate</w:t>
      </w:r>
    </w:p>
    <w:p w:rsidR="007A49CC" w:rsidRPr="00BD3BE7" w:rsidRDefault="007A49CC" w:rsidP="007A49CC">
      <w:pPr>
        <w:keepNext/>
        <w:ind w:left="5760"/>
        <w:rPr>
          <w:rFonts w:ascii="Franklin Gothic Book" w:hAnsi="Franklin Gothic Book" w:cs="Times New Roman"/>
          <w:color w:val="000000" w:themeColor="text1"/>
          <w:sz w:val="21"/>
          <w:szCs w:val="21"/>
        </w:rPr>
      </w:pPr>
      <w:r w:rsidRPr="00BD3BE7">
        <w:rPr>
          <w:rFonts w:ascii="Franklin Gothic Book" w:hAnsi="Franklin Gothic Book" w:cs="Times New Roman"/>
          <w:color w:val="000000" w:themeColor="text1"/>
          <w:sz w:val="21"/>
          <w:szCs w:val="21"/>
        </w:rPr>
        <w:t>Fresh Energy</w:t>
      </w:r>
    </w:p>
    <w:p w:rsidR="007A49CC" w:rsidRPr="00BD3BE7" w:rsidRDefault="007A49CC" w:rsidP="007A49CC">
      <w:pPr>
        <w:keepNext/>
        <w:ind w:left="5760"/>
        <w:rPr>
          <w:rFonts w:ascii="Franklin Gothic Book" w:hAnsi="Franklin Gothic Book" w:cs="Times New Roman"/>
          <w:color w:val="000000" w:themeColor="text1"/>
          <w:sz w:val="21"/>
          <w:szCs w:val="21"/>
        </w:rPr>
      </w:pPr>
      <w:r w:rsidRPr="00BD3BE7">
        <w:rPr>
          <w:rFonts w:ascii="Franklin Gothic Book" w:hAnsi="Franklin Gothic Book" w:cs="Times New Roman"/>
          <w:color w:val="000000" w:themeColor="text1"/>
          <w:sz w:val="21"/>
          <w:szCs w:val="21"/>
        </w:rPr>
        <w:t>408 St. Peter Street, Suite 220</w:t>
      </w:r>
    </w:p>
    <w:p w:rsidR="007A49CC" w:rsidRPr="00BD3BE7" w:rsidRDefault="007A49CC" w:rsidP="007A49CC">
      <w:pPr>
        <w:keepNext/>
        <w:ind w:left="5760"/>
        <w:rPr>
          <w:rFonts w:ascii="Franklin Gothic Book" w:hAnsi="Franklin Gothic Book" w:cs="Times New Roman"/>
          <w:color w:val="000000" w:themeColor="text1"/>
          <w:sz w:val="21"/>
          <w:szCs w:val="21"/>
        </w:rPr>
      </w:pPr>
      <w:r w:rsidRPr="00BD3BE7">
        <w:rPr>
          <w:rFonts w:ascii="Franklin Gothic Book" w:hAnsi="Franklin Gothic Book" w:cs="Times New Roman"/>
          <w:color w:val="000000" w:themeColor="text1"/>
          <w:sz w:val="21"/>
          <w:szCs w:val="21"/>
        </w:rPr>
        <w:t>St. Paul, MN 55102</w:t>
      </w:r>
    </w:p>
    <w:p w:rsidR="007A49CC" w:rsidRPr="00BD3BE7" w:rsidRDefault="007A49CC" w:rsidP="007A49CC">
      <w:pPr>
        <w:keepNext/>
        <w:ind w:left="5760"/>
        <w:rPr>
          <w:rFonts w:ascii="Franklin Gothic Book" w:hAnsi="Franklin Gothic Book" w:cs="Times New Roman"/>
          <w:color w:val="000000" w:themeColor="text1"/>
          <w:sz w:val="21"/>
          <w:szCs w:val="21"/>
        </w:rPr>
      </w:pPr>
      <w:r w:rsidRPr="00BD3BE7">
        <w:rPr>
          <w:rFonts w:ascii="Franklin Gothic Book" w:hAnsi="Franklin Gothic Book" w:cs="Times New Roman"/>
          <w:color w:val="000000" w:themeColor="text1"/>
          <w:sz w:val="21"/>
          <w:szCs w:val="21"/>
        </w:rPr>
        <w:t>(651) 726-7567</w:t>
      </w:r>
    </w:p>
    <w:p w:rsidR="007A49CC" w:rsidRPr="00BD3BE7" w:rsidRDefault="007A49CC" w:rsidP="007A49CC">
      <w:pPr>
        <w:keepNext/>
        <w:ind w:left="5760"/>
        <w:rPr>
          <w:rFonts w:ascii="Franklin Gothic Book" w:hAnsi="Franklin Gothic Book" w:cs="Times New Roman"/>
          <w:color w:val="000000" w:themeColor="text1"/>
          <w:sz w:val="21"/>
          <w:szCs w:val="21"/>
        </w:rPr>
      </w:pPr>
      <w:r w:rsidRPr="00BD3BE7">
        <w:rPr>
          <w:rFonts w:ascii="Franklin Gothic Book" w:hAnsi="Franklin Gothic Book" w:cs="Times New Roman"/>
          <w:color w:val="000000" w:themeColor="text1"/>
          <w:sz w:val="21"/>
          <w:szCs w:val="21"/>
        </w:rPr>
        <w:t>passer@fresh-energy.org</w:t>
      </w:r>
    </w:p>
    <w:p w:rsidR="007A49CC" w:rsidRPr="00493D91" w:rsidRDefault="007A49CC" w:rsidP="007A49CC">
      <w:pPr>
        <w:rPr>
          <w:rFonts w:ascii="Franklin Gothic Book" w:hAnsi="Franklin Gothic Book"/>
          <w:sz w:val="21"/>
          <w:szCs w:val="21"/>
        </w:rPr>
      </w:pPr>
    </w:p>
    <w:p w:rsidR="00E47344" w:rsidRDefault="00E47344"/>
    <w:sectPr w:rsidR="00E47344">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olly Lahd" w:date="2016-03-18T13:36:00Z" w:initials="HL">
    <w:p w:rsidR="007A49CC" w:rsidRDefault="007A49CC" w:rsidP="007A49CC">
      <w:pPr>
        <w:pStyle w:val="CommentText"/>
      </w:pPr>
      <w:r>
        <w:rPr>
          <w:rStyle w:val="CommentReference"/>
        </w:rPr>
        <w:annotationRef/>
      </w:r>
      <w:r>
        <w:t xml:space="preserve">Up to the groups involved if they want this in the record. If not we can remove this clause.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CA" w:rsidRDefault="000B23CA" w:rsidP="007A49CC">
      <w:r>
        <w:separator/>
      </w:r>
    </w:p>
  </w:endnote>
  <w:endnote w:type="continuationSeparator" w:id="0">
    <w:p w:rsidR="000B23CA" w:rsidRDefault="000B23CA" w:rsidP="007A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4657"/>
      <w:docPartObj>
        <w:docPartGallery w:val="Page Numbers (Bottom of Page)"/>
        <w:docPartUnique/>
      </w:docPartObj>
    </w:sdtPr>
    <w:sdtEndPr>
      <w:rPr>
        <w:noProof/>
      </w:rPr>
    </w:sdtEndPr>
    <w:sdtContent>
      <w:p w:rsidR="007F14D9" w:rsidRDefault="000B23CA">
        <w:pPr>
          <w:pStyle w:val="Footer"/>
          <w:jc w:val="center"/>
        </w:pPr>
        <w:r>
          <w:fldChar w:fldCharType="begin"/>
        </w:r>
        <w:r>
          <w:instrText xml:space="preserve"> PAGE   \* MERGEFORMAT </w:instrText>
        </w:r>
        <w:r>
          <w:fldChar w:fldCharType="separate"/>
        </w:r>
        <w:r w:rsidR="00C44CE8">
          <w:rPr>
            <w:noProof/>
          </w:rPr>
          <w:t>1</w:t>
        </w:r>
        <w:r>
          <w:rPr>
            <w:noProof/>
          </w:rPr>
          <w:fldChar w:fldCharType="end"/>
        </w:r>
      </w:p>
    </w:sdtContent>
  </w:sdt>
  <w:p w:rsidR="007F14D9" w:rsidRDefault="000B2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CA" w:rsidRDefault="000B23CA" w:rsidP="007A49CC">
      <w:r>
        <w:separator/>
      </w:r>
    </w:p>
  </w:footnote>
  <w:footnote w:type="continuationSeparator" w:id="0">
    <w:p w:rsidR="000B23CA" w:rsidRDefault="000B23CA" w:rsidP="007A49CC">
      <w:r>
        <w:continuationSeparator/>
      </w:r>
    </w:p>
  </w:footnote>
  <w:footnote w:id="1">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While the Commission’s notice requested comment on “low-income and minority subscribers in CSGs,” we are aware that “low-income” is often referenced in conjunction with “moderate-income.” Thus, although we use the term “low-income” in these comments, our recommendations address barriers faced by both low- and moderate-income households.  We provide a possible definition of low- to moderate-income households in these comments for the Commission to consider. Further, we do not address minority participation specifically, but encourage the Commission to consider these comments with respect to that issue where applicable.</w:t>
      </w:r>
    </w:p>
  </w:footnote>
  <w:footnote w:id="2">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FICO (August 17, 2015). </w:t>
      </w:r>
      <w:proofErr w:type="gramStart"/>
      <w:r w:rsidRPr="00C44CE8">
        <w:rPr>
          <w:rFonts w:ascii="Franklin Gothic Book" w:hAnsi="Franklin Gothic Book"/>
          <w:i/>
        </w:rPr>
        <w:t>April 2015 FICO Score Distribution</w:t>
      </w:r>
      <w:r w:rsidRPr="00C44CE8">
        <w:rPr>
          <w:rFonts w:ascii="Franklin Gothic Book" w:hAnsi="Franklin Gothic Book"/>
        </w:rPr>
        <w:t>.</w:t>
      </w:r>
      <w:proofErr w:type="gramEnd"/>
      <w:r w:rsidRPr="00C44CE8">
        <w:rPr>
          <w:rFonts w:ascii="Franklin Gothic Book" w:hAnsi="Franklin Gothic Book"/>
        </w:rPr>
        <w:t xml:space="preserve"> http://www.fico.com/en/blogs/risk-compliance/us-credit-quality-continues-climb-will-level/attachment/april-2015-fico-score-distribution/. </w:t>
      </w:r>
    </w:p>
  </w:footnote>
  <w:footnote w:id="3">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r w:rsidRPr="00C44CE8">
        <w:rPr>
          <w:rFonts w:ascii="Franklin Gothic Book" w:hAnsi="Franklin Gothic Book"/>
          <w:i/>
        </w:rPr>
        <w:t>See, e.g.,</w:t>
      </w:r>
      <w:r w:rsidRPr="00C44CE8">
        <w:rPr>
          <w:rFonts w:ascii="Franklin Gothic Book" w:hAnsi="Franklin Gothic Book"/>
        </w:rPr>
        <w:t xml:space="preserve"> Interstate Renewable Energy Council (IREC), “Shared Renewable Energy for Low- to Moderate-Income Consumers: Policy Guidelines and Model Provisions,” available at </w:t>
      </w:r>
      <w:r w:rsidRPr="00C44CE8">
        <w:rPr>
          <w:rFonts w:ascii="Franklin Gothic Book" w:hAnsi="Franklin Gothic Book"/>
        </w:rPr>
        <w:t>http://www.irecusa.org/publications/shared-renewable-energy-for-low-to-moderate-income-consumers-policy-guidelines-and-model-provisions/</w:t>
      </w:r>
      <w:r w:rsidRPr="00C44CE8">
        <w:rPr>
          <w:rFonts w:ascii="Franklin Gothic Book" w:hAnsi="Franklin Gothic Book"/>
        </w:rPr>
        <w:t xml:space="preserve">. </w:t>
      </w:r>
    </w:p>
  </w:footnote>
  <w:footnote w:id="4">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IREC, “Shared Renewable Energy for Low- to Moderate-Income Consumers: Policy Guidelines and Model Provisions,” available at http://www.irecusa.org/publications/shared-renewable-energy-for-low-to-moderate-income-consumers-policy-guidelines-and-model-provisions/</w:t>
      </w:r>
    </w:p>
  </w:footnote>
  <w:footnote w:id="5">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proofErr w:type="gramStart"/>
      <w:r w:rsidRPr="00C44CE8">
        <w:rPr>
          <w:rFonts w:ascii="Franklin Gothic Book" w:hAnsi="Franklin Gothic Book"/>
        </w:rPr>
        <w:t>Colo</w:t>
      </w:r>
      <w:r w:rsidRPr="00C44CE8">
        <w:rPr>
          <w:rFonts w:ascii="Franklin Gothic Book" w:hAnsi="Franklin Gothic Book"/>
          <w:i/>
        </w:rPr>
        <w:t>.</w:t>
      </w:r>
      <w:r w:rsidRPr="00C44CE8">
        <w:rPr>
          <w:rFonts w:ascii="Franklin Gothic Book" w:hAnsi="Franklin Gothic Book"/>
        </w:rPr>
        <w:t xml:space="preserve"> Rev. Stat. § 40-2-127.</w:t>
      </w:r>
      <w:proofErr w:type="gramEnd"/>
    </w:p>
  </w:footnote>
  <w:footnote w:id="6">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r w:rsidRPr="00C44CE8">
        <w:rPr>
          <w:rFonts w:ascii="Franklin Gothic Book" w:hAnsi="Franklin Gothic Book"/>
          <w:i/>
        </w:rPr>
        <w:t>Id.</w:t>
      </w:r>
    </w:p>
  </w:footnote>
  <w:footnote w:id="7">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proofErr w:type="gramStart"/>
      <w:r w:rsidRPr="00C44CE8">
        <w:rPr>
          <w:rFonts w:ascii="Franklin Gothic Book" w:hAnsi="Franklin Gothic Book"/>
        </w:rPr>
        <w:t>4 CCR 723-3.</w:t>
      </w:r>
      <w:proofErr w:type="gramEnd"/>
    </w:p>
  </w:footnote>
  <w:footnote w:id="8">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This is documented in a November 2015 report, </w:t>
      </w:r>
      <w:r w:rsidRPr="00C44CE8">
        <w:rPr>
          <w:rFonts w:ascii="Franklin Gothic Book" w:hAnsi="Franklin Gothic Book"/>
          <w:u w:val="single"/>
        </w:rPr>
        <w:t>Analysis of the Fulfillment of the Low-Income Carve-Out for Community Solar Subscriber Organizations</w:t>
      </w:r>
      <w:r w:rsidRPr="00C44CE8">
        <w:rPr>
          <w:rFonts w:ascii="Franklin Gothic Book" w:hAnsi="Franklin Gothic Book"/>
        </w:rPr>
        <w:t xml:space="preserve">, by the Colorado State Energy Office. The report discusses the results of the community solar low-income requirements and notes that there is “room for improvement.” </w:t>
      </w:r>
      <w:r w:rsidRPr="00C44CE8">
        <w:rPr>
          <w:rFonts w:ascii="Franklin Gothic Book" w:hAnsi="Franklin Gothic Book"/>
        </w:rPr>
        <w:t>The report is also available at https://www.colorado.gov/pacific/sites/default/files/atoms/files/CEO%20Low-Income%20Community%20Solar%20Report.pdf</w:t>
      </w:r>
    </w:p>
  </w:footnote>
  <w:footnote w:id="9">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This was discussed with a representative of </w:t>
      </w:r>
      <w:proofErr w:type="spellStart"/>
      <w:r w:rsidRPr="00C44CE8">
        <w:rPr>
          <w:rFonts w:ascii="Franklin Gothic Book" w:hAnsi="Franklin Gothic Book"/>
        </w:rPr>
        <w:t>SunShare’s</w:t>
      </w:r>
      <w:proofErr w:type="spellEnd"/>
      <w:r w:rsidRPr="00C44CE8">
        <w:rPr>
          <w:rFonts w:ascii="Franklin Gothic Book" w:hAnsi="Franklin Gothic Book"/>
        </w:rPr>
        <w:t xml:space="preserve"> Colorado office at a meeting in January on this topic (agenda attached).</w:t>
      </w:r>
    </w:p>
  </w:footnote>
  <w:footnote w:id="10">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proofErr w:type="gramStart"/>
      <w:r w:rsidRPr="00C44CE8">
        <w:rPr>
          <w:rFonts w:ascii="Franklin Gothic Book" w:hAnsi="Franklin Gothic Book"/>
        </w:rPr>
        <w:t>Minn. Stat. § 216B.1641.</w:t>
      </w:r>
      <w:proofErr w:type="gramEnd"/>
    </w:p>
  </w:footnote>
  <w:footnote w:id="11">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proofErr w:type="gramStart"/>
      <w:r w:rsidRPr="00C44CE8">
        <w:rPr>
          <w:rFonts w:ascii="Franklin Gothic Book" w:hAnsi="Franklin Gothic Book"/>
        </w:rPr>
        <w:t>Single-Family Affordable Solar Homes (SASH) 2.0 Program Handbook § 4.2.1 (Applicant Eligibility), pp. 7-8, available at www.cpuc.ca.gov/NR/rdonlyres/B68AAA33-3421-41CA-A14B-E652A269B17F/0/SASHProgramHandbook.pdf.</w:t>
      </w:r>
      <w:proofErr w:type="gramEnd"/>
    </w:p>
  </w:footnote>
  <w:footnote w:id="12">
    <w:p w:rsidR="007A49CC" w:rsidRPr="00C44CE8" w:rsidRDefault="007A49CC" w:rsidP="007A49CC">
      <w:pPr>
        <w:pStyle w:val="Default"/>
        <w:rPr>
          <w:rFonts w:ascii="Franklin Gothic Book" w:hAnsi="Franklin Gothic Book"/>
          <w:sz w:val="20"/>
          <w:szCs w:val="20"/>
        </w:rPr>
      </w:pPr>
      <w:r w:rsidRPr="00C44CE8">
        <w:rPr>
          <w:rStyle w:val="FootnoteReference"/>
          <w:rFonts w:ascii="Franklin Gothic Book" w:hAnsi="Franklin Gothic Book"/>
          <w:sz w:val="20"/>
          <w:szCs w:val="20"/>
        </w:rPr>
        <w:footnoteRef/>
      </w:r>
      <w:r w:rsidRPr="00C44CE8">
        <w:rPr>
          <w:rFonts w:ascii="Franklin Gothic Book" w:hAnsi="Franklin Gothic Book"/>
          <w:sz w:val="20"/>
          <w:szCs w:val="20"/>
        </w:rPr>
        <w:t xml:space="preserve"> U.S. Department of Housing and Urban Development, Transmittal of Fiscal Year 1998 Public Housing/Section 8 Income Limits (Jan. 7, 1998), http://www.huduser.gov/portal/datasets/il/fmr98/sect8.html; Low and Moderate Income Definitions under the CDBG Program (Oct. 19, 1984), http://portal.hud.gov/hudportal/HUD?src=/program_offices/comm_planning/communitydevelopment/rulesandregs/memoranda/lmidef84  </w:t>
      </w:r>
    </w:p>
  </w:footnote>
  <w:footnote w:id="13">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N.Y. PSC, Order Establishing a Community Distributed Generation Program and Making Other Findings, 15-E-0082 (July 17, 2015), </w:t>
      </w:r>
      <w:r w:rsidRPr="00C44CE8">
        <w:rPr>
          <w:rFonts w:ascii="Franklin Gothic Book" w:hAnsi="Franklin Gothic Book"/>
          <w:i/>
          <w:iCs/>
        </w:rPr>
        <w:t xml:space="preserve">available at </w:t>
      </w:r>
      <w:r w:rsidRPr="00C44CE8">
        <w:rPr>
          <w:rFonts w:ascii="Franklin Gothic Book" w:hAnsi="Franklin Gothic Book"/>
        </w:rPr>
        <w:t>http://documents.dps.ny.gov/public/Common/ViewDoc.aspx?DocRefId={76520435-25ED-4B84-8477-6433CE88DA86</w:t>
      </w:r>
    </w:p>
  </w:footnote>
  <w:footnote w:id="14">
    <w:p w:rsidR="007A49CC" w:rsidRPr="00C44CE8" w:rsidRDefault="007A49CC" w:rsidP="007A49CC">
      <w:pPr>
        <w:pStyle w:val="FootnoteText"/>
        <w:rPr>
          <w:rFonts w:ascii="Franklin Gothic Book" w:hAnsi="Franklin Gothic Book" w:cs="Times New Roman"/>
          <w:color w:val="000000"/>
        </w:rPr>
      </w:pPr>
      <w:r w:rsidRPr="00C44CE8">
        <w:rPr>
          <w:rFonts w:ascii="Franklin Gothic Book" w:hAnsi="Franklin Gothic Book" w:cs="Times New Roman"/>
          <w:color w:val="000000"/>
        </w:rPr>
        <w:footnoteRef/>
      </w:r>
      <w:r w:rsidRPr="00C44CE8">
        <w:rPr>
          <w:rFonts w:ascii="Franklin Gothic Book" w:hAnsi="Franklin Gothic Book" w:cs="Times New Roman"/>
          <w:color w:val="000000"/>
        </w:rPr>
        <w:t xml:space="preserve"> </w:t>
      </w:r>
      <w:proofErr w:type="gramStart"/>
      <w:r w:rsidRPr="00C44CE8">
        <w:rPr>
          <w:rFonts w:ascii="Franklin Gothic Book" w:hAnsi="Franklin Gothic Book" w:cs="Times New Roman"/>
          <w:color w:val="000000"/>
        </w:rPr>
        <w:t>Solar*Rewards Community – Guidelines for Low Income Subscribers.</w:t>
      </w:r>
      <w:proofErr w:type="gramEnd"/>
      <w:r w:rsidRPr="00C44CE8">
        <w:rPr>
          <w:rFonts w:ascii="Franklin Gothic Book" w:hAnsi="Franklin Gothic Book" w:cs="Times New Roman"/>
          <w:color w:val="000000"/>
        </w:rPr>
        <w:t xml:space="preserve">  https://www.xcelenergy.com/staticfiles/xe/Marketing/Files/CO-SRC-Guidelines-For-Low-Income-Subscribers.pdf</w:t>
      </w:r>
    </w:p>
  </w:footnote>
  <w:footnote w:id="15">
    <w:p w:rsidR="007A49CC" w:rsidRPr="00C44CE8" w:rsidRDefault="007A49CC" w:rsidP="007A49CC">
      <w:pPr>
        <w:rPr>
          <w:rFonts w:ascii="Franklin Gothic Book" w:hAnsi="Franklin Gothic Book" w:cs="Times New Roman"/>
          <w:color w:val="000000"/>
          <w:sz w:val="20"/>
          <w:szCs w:val="20"/>
        </w:rPr>
      </w:pPr>
      <w:r w:rsidRPr="00C44CE8">
        <w:rPr>
          <w:rFonts w:ascii="Franklin Gothic Book" w:hAnsi="Franklin Gothic Book" w:cs="Times New Roman"/>
          <w:color w:val="000000"/>
          <w:sz w:val="20"/>
          <w:szCs w:val="20"/>
        </w:rPr>
        <w:footnoteRef/>
      </w:r>
      <w:r w:rsidRPr="00C44CE8">
        <w:rPr>
          <w:rFonts w:ascii="Franklin Gothic Book" w:hAnsi="Franklin Gothic Book" w:cs="Times New Roman"/>
          <w:color w:val="000000"/>
          <w:sz w:val="20"/>
          <w:szCs w:val="20"/>
        </w:rPr>
        <w:t xml:space="preserve"> </w:t>
      </w:r>
      <w:proofErr w:type="gramStart"/>
      <w:r w:rsidRPr="00C44CE8">
        <w:rPr>
          <w:rFonts w:ascii="Franklin Gothic Book" w:hAnsi="Franklin Gothic Book" w:cs="Times New Roman"/>
          <w:color w:val="000000"/>
          <w:sz w:val="20"/>
          <w:szCs w:val="20"/>
        </w:rPr>
        <w:t>HUD.</w:t>
      </w:r>
      <w:proofErr w:type="gramEnd"/>
      <w:r w:rsidRPr="00C44CE8">
        <w:rPr>
          <w:rFonts w:ascii="Franklin Gothic Book" w:hAnsi="Franklin Gothic Book" w:cs="Times New Roman"/>
          <w:color w:val="000000"/>
          <w:sz w:val="20"/>
          <w:szCs w:val="20"/>
        </w:rPr>
        <w:t xml:space="preserve"> </w:t>
      </w:r>
      <w:hyperlink r:id="rId1" w:history="1">
        <w:r w:rsidRPr="00C44CE8">
          <w:rPr>
            <w:rFonts w:ascii="Franklin Gothic Book" w:hAnsi="Franklin Gothic Book" w:cs="Times New Roman"/>
            <w:color w:val="000000"/>
            <w:sz w:val="20"/>
            <w:szCs w:val="20"/>
          </w:rPr>
          <w:t>https://www.huduser.gov/portal/datasets/il/il15/State_Incomelimits_Report.pdf</w:t>
        </w:r>
      </w:hyperlink>
      <w:r w:rsidRPr="00C44CE8">
        <w:rPr>
          <w:rFonts w:ascii="Franklin Gothic Book" w:hAnsi="Franklin Gothic Book" w:cs="Times New Roman"/>
          <w:color w:val="000000"/>
          <w:sz w:val="20"/>
          <w:szCs w:val="20"/>
        </w:rPr>
        <w:t xml:space="preserve">. </w:t>
      </w:r>
    </w:p>
  </w:footnote>
  <w:footnote w:id="16">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http://www.xcelenergy.com/staticfiles/xe/PDF/Regulatory/CO_-Billing&amp;Payment-Consent-To-Disclose-Utility-Customer-DataForm-EN%20.pdf</w:t>
      </w:r>
    </w:p>
  </w:footnote>
  <w:footnote w:id="17">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https://www.xcelenergy.com/staticfiles/xe/Marketing/Files/co-src-Subscriber-Agency-Agreement.pdf</w:t>
      </w:r>
    </w:p>
  </w:footnote>
  <w:footnote w:id="18">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https://www.xcelenergy.com/staticfiles/xe/Marketing/Files/co-sr-community-Low-Income-Verification-Form.pdf</w:t>
      </w:r>
    </w:p>
  </w:footnote>
  <w:footnote w:id="19">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r w:rsidRPr="00C44CE8">
        <w:rPr>
          <w:rFonts w:ascii="Franklin Gothic Book" w:hAnsi="Franklin Gothic Book"/>
          <w:i/>
        </w:rPr>
        <w:t>See</w:t>
      </w:r>
      <w:r w:rsidRPr="00C44CE8">
        <w:rPr>
          <w:rFonts w:ascii="Franklin Gothic Book" w:hAnsi="Franklin Gothic Book"/>
        </w:rPr>
        <w:t xml:space="preserve"> </w:t>
      </w:r>
      <w:r w:rsidRPr="00C44CE8">
        <w:rPr>
          <w:rFonts w:ascii="Franklin Gothic Book" w:hAnsi="Franklin Gothic Book"/>
        </w:rPr>
        <w:t xml:space="preserve">https://mn.gov/commerce/consumers/your-home/save-energy-money/low-income-assistance/eap/eap-service-providers.jsp; </w:t>
      </w:r>
      <w:proofErr w:type="spellStart"/>
      <w:r w:rsidRPr="00C44CE8">
        <w:rPr>
          <w:rFonts w:ascii="Franklin Gothic Book" w:hAnsi="Franklin Gothic Book"/>
          <w:i/>
        </w:rPr>
        <w:t>see</w:t>
      </w:r>
      <w:proofErr w:type="spellEnd"/>
      <w:r w:rsidRPr="00C44CE8">
        <w:rPr>
          <w:rFonts w:ascii="Franklin Gothic Book" w:hAnsi="Franklin Gothic Book"/>
          <w:i/>
        </w:rPr>
        <w:t xml:space="preserve"> also</w:t>
      </w:r>
      <w:r w:rsidRPr="00C44CE8">
        <w:rPr>
          <w:rFonts w:ascii="Franklin Gothic Book" w:hAnsi="Franklin Gothic Book"/>
        </w:rPr>
        <w:t xml:space="preserve"> http://mn.gov/commerce-stat/other/wap-map.jpg</w:t>
      </w:r>
    </w:p>
  </w:footnote>
  <w:footnote w:id="20">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r w:rsidRPr="00C44CE8">
        <w:rPr>
          <w:rFonts w:ascii="Franklin Gothic Book" w:hAnsi="Franklin Gothic Book"/>
          <w:u w:val="single"/>
        </w:rPr>
        <w:t>Analysis of the Fulfillment of the Low-Income Carve-Out for Community Solar Subscriber Organizations</w:t>
      </w:r>
      <w:r w:rsidRPr="00C44CE8">
        <w:rPr>
          <w:rFonts w:ascii="Franklin Gothic Book" w:hAnsi="Franklin Gothic Book"/>
        </w:rPr>
        <w:t xml:space="preserve">, </w:t>
      </w:r>
      <w:r w:rsidRPr="00C44CE8">
        <w:rPr>
          <w:rFonts w:ascii="Franklin Gothic Book" w:hAnsi="Franklin Gothic Book"/>
          <w:i/>
        </w:rPr>
        <w:t>available at</w:t>
      </w:r>
      <w:r w:rsidRPr="00C44CE8">
        <w:rPr>
          <w:rFonts w:ascii="Franklin Gothic Book" w:hAnsi="Franklin Gothic Book"/>
        </w:rPr>
        <w:t xml:space="preserve"> https://www.colorado.gov/pacific/sites/default/files/atoms/files/CEO%20Low-Income%20Community%20Solar%20Report.pdf</w:t>
      </w:r>
    </w:p>
  </w:footnote>
  <w:footnote w:id="21">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N.Y. PSC, Order Establishing a Community Distributed Generation Program and Making Other Findings, 15-E-0082 (July 17, 2015), </w:t>
      </w:r>
      <w:r w:rsidRPr="00C44CE8">
        <w:rPr>
          <w:rFonts w:ascii="Franklin Gothic Book" w:hAnsi="Franklin Gothic Book"/>
          <w:i/>
          <w:iCs/>
        </w:rPr>
        <w:t xml:space="preserve">available at </w:t>
      </w:r>
      <w:r w:rsidRPr="00C44CE8">
        <w:rPr>
          <w:rFonts w:ascii="Franklin Gothic Book" w:hAnsi="Franklin Gothic Book"/>
        </w:rPr>
        <w:t xml:space="preserve">http://documents.dps.ny.gov/public/Common/ViewDoc.aspx?DocRefId={76520435-25ED-4B84-8477-6433CE88DA86 </w:t>
      </w:r>
    </w:p>
    <w:p w:rsidR="007A49CC" w:rsidRPr="00C44CE8" w:rsidRDefault="007A49CC" w:rsidP="007A49CC">
      <w:pPr>
        <w:pStyle w:val="FootnoteText"/>
        <w:rPr>
          <w:rFonts w:ascii="Franklin Gothic Book" w:hAnsi="Franklin Gothic Book"/>
        </w:rPr>
      </w:pPr>
    </w:p>
  </w:footnote>
  <w:footnote w:id="22">
    <w:p w:rsidR="00C44CE8" w:rsidRPr="00C44CE8" w:rsidRDefault="00C44CE8" w:rsidP="00C44CE8">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w:t>
      </w:r>
      <w:proofErr w:type="gramStart"/>
      <w:r w:rsidRPr="00C44CE8">
        <w:rPr>
          <w:rFonts w:ascii="Franklin Gothic Book" w:hAnsi="Franklin Gothic Book"/>
        </w:rPr>
        <w:t>Solicitation Addendum No. 2 to State of Minnesota Request for Proposal (RFP), “Community Solar Garden Subscriptions for Minnesota State Capitol Complex and Other State Buildings (Nov. 16, 2015), attached.</w:t>
      </w:r>
      <w:proofErr w:type="gramEnd"/>
    </w:p>
  </w:footnote>
  <w:footnote w:id="23">
    <w:p w:rsidR="007A49CC" w:rsidRPr="00C44CE8" w:rsidRDefault="007A49CC" w:rsidP="007A49CC">
      <w:pPr>
        <w:pStyle w:val="FootnoteText"/>
        <w:rPr>
          <w:rFonts w:ascii="Franklin Gothic Book" w:hAnsi="Franklin Gothic Book"/>
        </w:rPr>
      </w:pPr>
      <w:r w:rsidRPr="00C44CE8">
        <w:rPr>
          <w:rStyle w:val="FootnoteReference"/>
          <w:rFonts w:ascii="Franklin Gothic Book" w:hAnsi="Franklin Gothic Book"/>
        </w:rPr>
        <w:footnoteRef/>
      </w:r>
      <w:r w:rsidRPr="00C44CE8">
        <w:rPr>
          <w:rFonts w:ascii="Franklin Gothic Book" w:hAnsi="Franklin Gothic Book"/>
        </w:rPr>
        <w:t xml:space="preserve"> IREC, “Shared Renewable Energy for Low- to Moderate-Income Consumers: Policy Guidelines and Model Provisions,” available at http://www.irecusa.org/publications/shared-renewable-energy-for-low-to-moderate-income-consumers-policy-guidelines-and-model-provisions/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181886"/>
      <w:docPartObj>
        <w:docPartGallery w:val="Watermarks"/>
        <w:docPartUnique/>
      </w:docPartObj>
    </w:sdtPr>
    <w:sdtEndPr/>
    <w:sdtContent>
      <w:p w:rsidR="007F14D9" w:rsidRDefault="000B23C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3945"/>
    <w:multiLevelType w:val="hybridMultilevel"/>
    <w:tmpl w:val="FFF604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801672"/>
    <w:multiLevelType w:val="multilevel"/>
    <w:tmpl w:val="6792BE06"/>
    <w:lvl w:ilvl="0">
      <w:start w:val="1"/>
      <w:numFmt w:val="upperRoman"/>
      <w:lvlText w:val="%1."/>
      <w:lvlJc w:val="left"/>
      <w:pPr>
        <w:ind w:left="720" w:hanging="720"/>
      </w:pPr>
      <w:rPr>
        <w:rFonts w:hint="default"/>
        <w:b/>
        <w:i w:val="0"/>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ascii="Franklin Gothic Book" w:eastAsiaTheme="minorHAnsi" w:hAnsi="Franklin Gothic Book" w:cstheme="minorBid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DEB2143"/>
    <w:multiLevelType w:val="hybridMultilevel"/>
    <w:tmpl w:val="D6BC7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62551"/>
    <w:multiLevelType w:val="hybridMultilevel"/>
    <w:tmpl w:val="057A83F0"/>
    <w:lvl w:ilvl="0" w:tplc="FD08ADBE">
      <w:start w:val="1"/>
      <w:numFmt w:val="decimal"/>
      <w:lvlText w:val="%1."/>
      <w:lvlJc w:val="left"/>
      <w:pPr>
        <w:ind w:left="1080" w:hanging="72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670535"/>
    <w:multiLevelType w:val="hybridMultilevel"/>
    <w:tmpl w:val="A114FDBE"/>
    <w:lvl w:ilvl="0" w:tplc="EB62B8FE">
      <w:start w:val="1"/>
      <w:numFmt w:val="upperRoman"/>
      <w:lvlText w:val="%1."/>
      <w:lvlJc w:val="left"/>
      <w:pPr>
        <w:ind w:left="720" w:hanging="720"/>
      </w:pPr>
      <w:rPr>
        <w:rFonts w:hint="default"/>
        <w:b/>
        <w:i w:val="0"/>
      </w:rPr>
    </w:lvl>
    <w:lvl w:ilvl="1" w:tplc="04090019">
      <w:start w:val="1"/>
      <w:numFmt w:val="lowerLetter"/>
      <w:lvlText w:val="%2."/>
      <w:lvlJc w:val="left"/>
      <w:pPr>
        <w:ind w:left="1440" w:hanging="360"/>
      </w:pPr>
    </w:lvl>
    <w:lvl w:ilvl="2" w:tplc="9FC23E40">
      <w:start w:val="1"/>
      <w:numFmt w:val="lowerLetter"/>
      <w:lvlText w:val="%3)"/>
      <w:lvlJc w:val="left"/>
      <w:pPr>
        <w:ind w:left="2340" w:hanging="360"/>
      </w:pPr>
      <w:rPr>
        <w:rFonts w:ascii="Franklin Gothic Book" w:eastAsiaTheme="minorHAnsi" w:hAnsi="Franklin Gothic Book"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3E46F1"/>
    <w:multiLevelType w:val="hybridMultilevel"/>
    <w:tmpl w:val="19122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CC"/>
    <w:rsid w:val="000B23CA"/>
    <w:rsid w:val="001E1305"/>
    <w:rsid w:val="00451CEA"/>
    <w:rsid w:val="007A49CC"/>
    <w:rsid w:val="00C44CE8"/>
    <w:rsid w:val="00E4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pPr>
        <w:spacing w:after="20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CC"/>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9C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A49CC"/>
    <w:pPr>
      <w:ind w:left="720"/>
      <w:contextualSpacing/>
    </w:pPr>
  </w:style>
  <w:style w:type="paragraph" w:styleId="FootnoteText">
    <w:name w:val="footnote text"/>
    <w:basedOn w:val="Normal"/>
    <w:link w:val="FootnoteTextChar"/>
    <w:uiPriority w:val="99"/>
    <w:unhideWhenUsed/>
    <w:rsid w:val="007A49CC"/>
    <w:rPr>
      <w:sz w:val="20"/>
      <w:szCs w:val="20"/>
    </w:rPr>
  </w:style>
  <w:style w:type="character" w:customStyle="1" w:styleId="FootnoteTextChar">
    <w:name w:val="Footnote Text Char"/>
    <w:basedOn w:val="DefaultParagraphFont"/>
    <w:link w:val="FootnoteText"/>
    <w:uiPriority w:val="99"/>
    <w:rsid w:val="007A49CC"/>
    <w:rPr>
      <w:rFonts w:ascii="Times New Roman" w:hAnsi="Times New Roman"/>
      <w:sz w:val="20"/>
      <w:szCs w:val="20"/>
    </w:rPr>
  </w:style>
  <w:style w:type="character" w:styleId="FootnoteReference">
    <w:name w:val="footnote reference"/>
    <w:basedOn w:val="DefaultParagraphFont"/>
    <w:uiPriority w:val="99"/>
    <w:unhideWhenUsed/>
    <w:rsid w:val="007A49CC"/>
    <w:rPr>
      <w:vertAlign w:val="superscript"/>
    </w:rPr>
  </w:style>
  <w:style w:type="paragraph" w:styleId="Header">
    <w:name w:val="header"/>
    <w:basedOn w:val="Normal"/>
    <w:link w:val="HeaderChar"/>
    <w:uiPriority w:val="99"/>
    <w:unhideWhenUsed/>
    <w:rsid w:val="007A49CC"/>
    <w:pPr>
      <w:tabs>
        <w:tab w:val="center" w:pos="4680"/>
        <w:tab w:val="right" w:pos="9360"/>
      </w:tabs>
    </w:pPr>
  </w:style>
  <w:style w:type="character" w:customStyle="1" w:styleId="HeaderChar">
    <w:name w:val="Header Char"/>
    <w:basedOn w:val="DefaultParagraphFont"/>
    <w:link w:val="Header"/>
    <w:uiPriority w:val="99"/>
    <w:rsid w:val="007A49CC"/>
    <w:rPr>
      <w:rFonts w:ascii="Times New Roman" w:hAnsi="Times New Roman"/>
      <w:sz w:val="24"/>
      <w:szCs w:val="24"/>
    </w:rPr>
  </w:style>
  <w:style w:type="paragraph" w:styleId="Footer">
    <w:name w:val="footer"/>
    <w:basedOn w:val="Normal"/>
    <w:link w:val="FooterChar"/>
    <w:uiPriority w:val="99"/>
    <w:unhideWhenUsed/>
    <w:rsid w:val="007A49CC"/>
    <w:pPr>
      <w:tabs>
        <w:tab w:val="center" w:pos="4680"/>
        <w:tab w:val="right" w:pos="9360"/>
      </w:tabs>
    </w:pPr>
  </w:style>
  <w:style w:type="character" w:customStyle="1" w:styleId="FooterChar">
    <w:name w:val="Footer Char"/>
    <w:basedOn w:val="DefaultParagraphFont"/>
    <w:link w:val="Footer"/>
    <w:uiPriority w:val="99"/>
    <w:rsid w:val="007A49CC"/>
    <w:rPr>
      <w:rFonts w:ascii="Times New Roman" w:hAnsi="Times New Roman"/>
      <w:sz w:val="24"/>
      <w:szCs w:val="24"/>
    </w:rPr>
  </w:style>
  <w:style w:type="character" w:styleId="CommentReference">
    <w:name w:val="annotation reference"/>
    <w:basedOn w:val="DefaultParagraphFont"/>
    <w:uiPriority w:val="99"/>
    <w:semiHidden/>
    <w:unhideWhenUsed/>
    <w:rsid w:val="007A49CC"/>
    <w:rPr>
      <w:sz w:val="16"/>
      <w:szCs w:val="16"/>
    </w:rPr>
  </w:style>
  <w:style w:type="paragraph" w:styleId="CommentText">
    <w:name w:val="annotation text"/>
    <w:basedOn w:val="Normal"/>
    <w:link w:val="CommentTextChar"/>
    <w:uiPriority w:val="99"/>
    <w:semiHidden/>
    <w:unhideWhenUsed/>
    <w:rsid w:val="007A49CC"/>
    <w:rPr>
      <w:sz w:val="20"/>
      <w:szCs w:val="20"/>
    </w:rPr>
  </w:style>
  <w:style w:type="character" w:customStyle="1" w:styleId="CommentTextChar">
    <w:name w:val="Comment Text Char"/>
    <w:basedOn w:val="DefaultParagraphFont"/>
    <w:link w:val="CommentText"/>
    <w:uiPriority w:val="99"/>
    <w:semiHidden/>
    <w:rsid w:val="007A49CC"/>
    <w:rPr>
      <w:rFonts w:ascii="Times New Roman" w:hAnsi="Times New Roman"/>
      <w:sz w:val="20"/>
      <w:szCs w:val="20"/>
    </w:rPr>
  </w:style>
  <w:style w:type="character" w:styleId="Hyperlink">
    <w:name w:val="Hyperlink"/>
    <w:basedOn w:val="DefaultParagraphFont"/>
    <w:uiPriority w:val="99"/>
    <w:unhideWhenUsed/>
    <w:rsid w:val="007A49CC"/>
    <w:rPr>
      <w:color w:val="0000FF" w:themeColor="hyperlink"/>
      <w:u w:val="single"/>
    </w:rPr>
  </w:style>
  <w:style w:type="paragraph" w:styleId="BalloonText">
    <w:name w:val="Balloon Text"/>
    <w:basedOn w:val="Normal"/>
    <w:link w:val="BalloonTextChar"/>
    <w:uiPriority w:val="99"/>
    <w:semiHidden/>
    <w:unhideWhenUsed/>
    <w:rsid w:val="007A49CC"/>
    <w:rPr>
      <w:rFonts w:ascii="Tahoma" w:hAnsi="Tahoma" w:cs="Tahoma"/>
      <w:sz w:val="16"/>
      <w:szCs w:val="16"/>
    </w:rPr>
  </w:style>
  <w:style w:type="character" w:customStyle="1" w:styleId="BalloonTextChar">
    <w:name w:val="Balloon Text Char"/>
    <w:basedOn w:val="DefaultParagraphFont"/>
    <w:link w:val="BalloonText"/>
    <w:uiPriority w:val="99"/>
    <w:semiHidden/>
    <w:rsid w:val="007A4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pPr>
        <w:spacing w:after="20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CC"/>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9C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A49CC"/>
    <w:pPr>
      <w:ind w:left="720"/>
      <w:contextualSpacing/>
    </w:pPr>
  </w:style>
  <w:style w:type="paragraph" w:styleId="FootnoteText">
    <w:name w:val="footnote text"/>
    <w:basedOn w:val="Normal"/>
    <w:link w:val="FootnoteTextChar"/>
    <w:uiPriority w:val="99"/>
    <w:unhideWhenUsed/>
    <w:rsid w:val="007A49CC"/>
    <w:rPr>
      <w:sz w:val="20"/>
      <w:szCs w:val="20"/>
    </w:rPr>
  </w:style>
  <w:style w:type="character" w:customStyle="1" w:styleId="FootnoteTextChar">
    <w:name w:val="Footnote Text Char"/>
    <w:basedOn w:val="DefaultParagraphFont"/>
    <w:link w:val="FootnoteText"/>
    <w:uiPriority w:val="99"/>
    <w:rsid w:val="007A49CC"/>
    <w:rPr>
      <w:rFonts w:ascii="Times New Roman" w:hAnsi="Times New Roman"/>
      <w:sz w:val="20"/>
      <w:szCs w:val="20"/>
    </w:rPr>
  </w:style>
  <w:style w:type="character" w:styleId="FootnoteReference">
    <w:name w:val="footnote reference"/>
    <w:basedOn w:val="DefaultParagraphFont"/>
    <w:uiPriority w:val="99"/>
    <w:unhideWhenUsed/>
    <w:rsid w:val="007A49CC"/>
    <w:rPr>
      <w:vertAlign w:val="superscript"/>
    </w:rPr>
  </w:style>
  <w:style w:type="paragraph" w:styleId="Header">
    <w:name w:val="header"/>
    <w:basedOn w:val="Normal"/>
    <w:link w:val="HeaderChar"/>
    <w:uiPriority w:val="99"/>
    <w:unhideWhenUsed/>
    <w:rsid w:val="007A49CC"/>
    <w:pPr>
      <w:tabs>
        <w:tab w:val="center" w:pos="4680"/>
        <w:tab w:val="right" w:pos="9360"/>
      </w:tabs>
    </w:pPr>
  </w:style>
  <w:style w:type="character" w:customStyle="1" w:styleId="HeaderChar">
    <w:name w:val="Header Char"/>
    <w:basedOn w:val="DefaultParagraphFont"/>
    <w:link w:val="Header"/>
    <w:uiPriority w:val="99"/>
    <w:rsid w:val="007A49CC"/>
    <w:rPr>
      <w:rFonts w:ascii="Times New Roman" w:hAnsi="Times New Roman"/>
      <w:sz w:val="24"/>
      <w:szCs w:val="24"/>
    </w:rPr>
  </w:style>
  <w:style w:type="paragraph" w:styleId="Footer">
    <w:name w:val="footer"/>
    <w:basedOn w:val="Normal"/>
    <w:link w:val="FooterChar"/>
    <w:uiPriority w:val="99"/>
    <w:unhideWhenUsed/>
    <w:rsid w:val="007A49CC"/>
    <w:pPr>
      <w:tabs>
        <w:tab w:val="center" w:pos="4680"/>
        <w:tab w:val="right" w:pos="9360"/>
      </w:tabs>
    </w:pPr>
  </w:style>
  <w:style w:type="character" w:customStyle="1" w:styleId="FooterChar">
    <w:name w:val="Footer Char"/>
    <w:basedOn w:val="DefaultParagraphFont"/>
    <w:link w:val="Footer"/>
    <w:uiPriority w:val="99"/>
    <w:rsid w:val="007A49CC"/>
    <w:rPr>
      <w:rFonts w:ascii="Times New Roman" w:hAnsi="Times New Roman"/>
      <w:sz w:val="24"/>
      <w:szCs w:val="24"/>
    </w:rPr>
  </w:style>
  <w:style w:type="character" w:styleId="CommentReference">
    <w:name w:val="annotation reference"/>
    <w:basedOn w:val="DefaultParagraphFont"/>
    <w:uiPriority w:val="99"/>
    <w:semiHidden/>
    <w:unhideWhenUsed/>
    <w:rsid w:val="007A49CC"/>
    <w:rPr>
      <w:sz w:val="16"/>
      <w:szCs w:val="16"/>
    </w:rPr>
  </w:style>
  <w:style w:type="paragraph" w:styleId="CommentText">
    <w:name w:val="annotation text"/>
    <w:basedOn w:val="Normal"/>
    <w:link w:val="CommentTextChar"/>
    <w:uiPriority w:val="99"/>
    <w:semiHidden/>
    <w:unhideWhenUsed/>
    <w:rsid w:val="007A49CC"/>
    <w:rPr>
      <w:sz w:val="20"/>
      <w:szCs w:val="20"/>
    </w:rPr>
  </w:style>
  <w:style w:type="character" w:customStyle="1" w:styleId="CommentTextChar">
    <w:name w:val="Comment Text Char"/>
    <w:basedOn w:val="DefaultParagraphFont"/>
    <w:link w:val="CommentText"/>
    <w:uiPriority w:val="99"/>
    <w:semiHidden/>
    <w:rsid w:val="007A49CC"/>
    <w:rPr>
      <w:rFonts w:ascii="Times New Roman" w:hAnsi="Times New Roman"/>
      <w:sz w:val="20"/>
      <w:szCs w:val="20"/>
    </w:rPr>
  </w:style>
  <w:style w:type="character" w:styleId="Hyperlink">
    <w:name w:val="Hyperlink"/>
    <w:basedOn w:val="DefaultParagraphFont"/>
    <w:uiPriority w:val="99"/>
    <w:unhideWhenUsed/>
    <w:rsid w:val="007A49CC"/>
    <w:rPr>
      <w:color w:val="0000FF" w:themeColor="hyperlink"/>
      <w:u w:val="single"/>
    </w:rPr>
  </w:style>
  <w:style w:type="paragraph" w:styleId="BalloonText">
    <w:name w:val="Balloon Text"/>
    <w:basedOn w:val="Normal"/>
    <w:link w:val="BalloonTextChar"/>
    <w:uiPriority w:val="99"/>
    <w:semiHidden/>
    <w:unhideWhenUsed/>
    <w:rsid w:val="007A49CC"/>
    <w:rPr>
      <w:rFonts w:ascii="Tahoma" w:hAnsi="Tahoma" w:cs="Tahoma"/>
      <w:sz w:val="16"/>
      <w:szCs w:val="16"/>
    </w:rPr>
  </w:style>
  <w:style w:type="character" w:customStyle="1" w:styleId="BalloonTextChar">
    <w:name w:val="Balloon Text Char"/>
    <w:basedOn w:val="DefaultParagraphFont"/>
    <w:link w:val="BalloonText"/>
    <w:uiPriority w:val="99"/>
    <w:semiHidden/>
    <w:rsid w:val="007A4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user.gov/portal/datasets/il/il15/State_Incomelimits_Report.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pieChart>
        <c:varyColors val="1"/>
        <c:ser>
          <c:idx val="0"/>
          <c:order val="0"/>
          <c:tx>
            <c:strRef>
              <c:f>Sheet1!$B$1</c:f>
              <c:strCache>
                <c:ptCount val="1"/>
                <c:pt idx="0">
                  <c:v>Typical CSG Project Model</c:v>
                </c:pt>
              </c:strCache>
            </c:strRef>
          </c:tx>
          <c:dPt>
            <c:idx val="0"/>
            <c:bubble3D val="0"/>
            <c:spPr>
              <a:solidFill>
                <a:schemeClr val="accent1"/>
              </a:solidFill>
              <a:ln w="25400" cap="flat" cmpd="sng" algn="ctr">
                <a:solidFill>
                  <a:schemeClr val="accent1">
                    <a:shade val="50000"/>
                  </a:schemeClr>
                </a:solidFill>
                <a:prstDash val="solid"/>
              </a:ln>
              <a:effectLst/>
            </c:spPr>
          </c:dPt>
          <c:dPt>
            <c:idx val="1"/>
            <c:bubble3D val="0"/>
            <c:spPr>
              <a:solidFill>
                <a:schemeClr val="accent2"/>
              </a:solidFill>
              <a:ln w="25400" cap="flat" cmpd="sng" algn="ctr">
                <a:solidFill>
                  <a:schemeClr val="accent2">
                    <a:shade val="50000"/>
                  </a:schemeClr>
                </a:solidFill>
                <a:prstDash val="solid"/>
              </a:ln>
              <a:effectLst/>
            </c:spPr>
          </c:dPt>
          <c:cat>
            <c:strRef>
              <c:f>Sheet1!$A$2:$A$3</c:f>
              <c:strCache>
                <c:ptCount val="2"/>
                <c:pt idx="0">
                  <c:v>Institutional Subscriber</c:v>
                </c:pt>
                <c:pt idx="1">
                  <c:v>Other Subscribers</c:v>
                </c:pt>
              </c:strCache>
            </c:strRef>
          </c:cat>
          <c:val>
            <c:numRef>
              <c:f>Sheet1!$B$2:$B$3</c:f>
              <c:numCache>
                <c:formatCode>General</c:formatCode>
                <c:ptCount val="2"/>
                <c:pt idx="0">
                  <c:v>40</c:v>
                </c:pt>
                <c:pt idx="1">
                  <c:v>60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pieChart>
        <c:varyColors val="1"/>
        <c:ser>
          <c:idx val="0"/>
          <c:order val="0"/>
          <c:tx>
            <c:strRef>
              <c:f>Sheet1!$B$1</c:f>
              <c:strCache>
                <c:ptCount val="1"/>
                <c:pt idx="0">
                  <c:v>"Backup Subscriber" Model</c:v>
                </c:pt>
              </c:strCache>
            </c:strRef>
          </c:tx>
          <c:dPt>
            <c:idx val="0"/>
            <c:bubble3D val="0"/>
            <c:spPr>
              <a:solidFill>
                <a:schemeClr val="accent1"/>
              </a:solidFill>
              <a:ln w="25400" cap="flat" cmpd="sng" algn="ctr">
                <a:solidFill>
                  <a:schemeClr val="accent1">
                    <a:shade val="50000"/>
                  </a:schemeClr>
                </a:solidFill>
                <a:prstDash val="solid"/>
              </a:ln>
              <a:effectLst/>
            </c:spPr>
          </c:dPt>
          <c:dPt>
            <c:idx val="1"/>
            <c:bubble3D val="0"/>
            <c:spPr>
              <a:solidFill>
                <a:schemeClr val="accent4"/>
              </a:solidFill>
              <a:ln w="25400" cap="flat" cmpd="sng" algn="ctr">
                <a:solidFill>
                  <a:schemeClr val="accent4">
                    <a:shade val="50000"/>
                  </a:schemeClr>
                </a:solidFill>
                <a:prstDash val="solid"/>
              </a:ln>
              <a:effectLst/>
            </c:spPr>
          </c:dPt>
          <c:dPt>
            <c:idx val="2"/>
            <c:bubble3D val="0"/>
            <c:spPr>
              <a:solidFill>
                <a:schemeClr val="accent2"/>
              </a:solidFill>
              <a:ln w="25400" cap="flat" cmpd="sng" algn="ctr">
                <a:solidFill>
                  <a:schemeClr val="accent2">
                    <a:shade val="50000"/>
                  </a:schemeClr>
                </a:solidFill>
                <a:prstDash val="solid"/>
              </a:ln>
              <a:effectLst/>
            </c:spPr>
          </c:dPt>
          <c:cat>
            <c:strRef>
              <c:f>Sheet1!$A$2:$A$4</c:f>
              <c:strCache>
                <c:ptCount val="3"/>
                <c:pt idx="0">
                  <c:v>Institutional Subscriber</c:v>
                </c:pt>
                <c:pt idx="1">
                  <c:v>Backup Portion</c:v>
                </c:pt>
                <c:pt idx="2">
                  <c:v>Other Subscribers</c:v>
                </c:pt>
              </c:strCache>
            </c:strRef>
          </c:cat>
          <c:val>
            <c:numRef>
              <c:f>Sheet1!$B$2:$B$4</c:f>
              <c:numCache>
                <c:formatCode>General</c:formatCode>
                <c:ptCount val="3"/>
                <c:pt idx="0">
                  <c:v>25</c:v>
                </c:pt>
                <c:pt idx="1">
                  <c:v>15</c:v>
                </c:pt>
                <c:pt idx="2">
                  <c:v>60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Backup</a:t>
            </a:r>
            <a:r>
              <a:rPr lang="en-US" baseline="0"/>
              <a:t> Subscriber Model with Proposed Recommendations</a:t>
            </a:r>
            <a:endParaRPr lang="en-US"/>
          </a:p>
        </c:rich>
      </c:tx>
      <c:overlay val="0"/>
    </c:title>
    <c:autoTitleDeleted val="0"/>
    <c:plotArea>
      <c:layout/>
      <c:pieChart>
        <c:varyColors val="1"/>
        <c:ser>
          <c:idx val="0"/>
          <c:order val="0"/>
          <c:tx>
            <c:strRef>
              <c:f>Sheet1!$B$1</c:f>
              <c:strCache>
                <c:ptCount val="1"/>
                <c:pt idx="0">
                  <c:v>Typical CSG Project Model</c:v>
                </c:pt>
              </c:strCache>
            </c:strRef>
          </c:tx>
          <c:dPt>
            <c:idx val="0"/>
            <c:bubble3D val="0"/>
            <c:spPr>
              <a:solidFill>
                <a:schemeClr val="accent1"/>
              </a:solidFill>
              <a:ln w="25400" cap="flat" cmpd="sng" algn="ctr">
                <a:solidFill>
                  <a:schemeClr val="accent1">
                    <a:shade val="50000"/>
                  </a:schemeClr>
                </a:solidFill>
                <a:prstDash val="solid"/>
              </a:ln>
              <a:effectLst/>
            </c:spPr>
          </c:dPt>
          <c:dPt>
            <c:idx val="1"/>
            <c:bubble3D val="0"/>
            <c:spPr>
              <a:solidFill>
                <a:schemeClr val="accent4"/>
              </a:solidFill>
              <a:ln w="25400" cap="flat" cmpd="sng" algn="ctr">
                <a:solidFill>
                  <a:schemeClr val="accent4">
                    <a:shade val="50000"/>
                  </a:schemeClr>
                </a:solidFill>
                <a:prstDash val="solid"/>
              </a:ln>
              <a:effectLst/>
            </c:spPr>
          </c:dPt>
          <c:dPt>
            <c:idx val="2"/>
            <c:bubble3D val="0"/>
            <c:spPr>
              <a:solidFill>
                <a:schemeClr val="accent2"/>
              </a:solidFill>
              <a:ln w="25400" cap="flat" cmpd="sng" algn="ctr">
                <a:solidFill>
                  <a:schemeClr val="accent2">
                    <a:shade val="50000"/>
                  </a:schemeClr>
                </a:solidFill>
                <a:prstDash val="solid"/>
              </a:ln>
              <a:effectLst/>
            </c:spPr>
          </c:dPt>
          <c:cat>
            <c:strRef>
              <c:f>Sheet1!$A$2:$A$4</c:f>
              <c:strCache>
                <c:ptCount val="3"/>
                <c:pt idx="0">
                  <c:v>Institutional Subscriber</c:v>
                </c:pt>
                <c:pt idx="1">
                  <c:v>Backup Portion</c:v>
                </c:pt>
                <c:pt idx="2">
                  <c:v>Other Subscribers</c:v>
                </c:pt>
              </c:strCache>
            </c:strRef>
          </c:cat>
          <c:val>
            <c:numRef>
              <c:f>Sheet1!$B$2:$B$4</c:f>
              <c:numCache>
                <c:formatCode>General</c:formatCode>
                <c:ptCount val="3"/>
                <c:pt idx="0">
                  <c:v>40</c:v>
                </c:pt>
                <c:pt idx="1">
                  <c:v>20</c:v>
                </c:pt>
                <c:pt idx="2">
                  <c:v>40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4437</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Passer</dc:creator>
  <cp:lastModifiedBy>Ben Passer</cp:lastModifiedBy>
  <cp:revision>3</cp:revision>
  <dcterms:created xsi:type="dcterms:W3CDTF">2016-03-18T18:36:00Z</dcterms:created>
  <dcterms:modified xsi:type="dcterms:W3CDTF">2016-03-18T19:03:00Z</dcterms:modified>
</cp:coreProperties>
</file>